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27DB" w14:textId="13E777DB" w:rsidR="00D022ED" w:rsidRDefault="00D022ED">
      <w:r>
        <w:t>Borders Bookstores, once one of the premiere book sellers in America,</w:t>
      </w:r>
      <w:bookmarkStart w:id="0" w:name="_GoBack"/>
      <w:bookmarkEnd w:id="0"/>
      <w:r>
        <w:t xml:space="preserve"> filed for bankruptcy. As a result, the risk premium demanded by its investors will increase significantly. Assume the following: Borders has outstanding bonds with face amount of $1,000 paying interest of 10% per year. At the time those bonds were issued for their face value of $1,000, they were considered riskless (no risk premium). </w:t>
      </w:r>
      <w:r w:rsidR="00ED69DF">
        <w:t>Because of the bankruptcy, a</w:t>
      </w:r>
      <w:r>
        <w:t xml:space="preserve">n investor in the 40% tax bracket will purchase </w:t>
      </w:r>
      <w:proofErr w:type="gramStart"/>
      <w:r>
        <w:t>newly-issued</w:t>
      </w:r>
      <w:proofErr w:type="gramEnd"/>
      <w:r>
        <w:t xml:space="preserve"> Borders bonds for face value of $1,000 and a five-year term only if these new bonds pay 30% interest per year.</w:t>
      </w:r>
    </w:p>
    <w:p w14:paraId="1CFB9A88" w14:textId="77777777" w:rsidR="005C6888" w:rsidRDefault="00D022ED">
      <w:r>
        <w:t>Question 1: For this investor, what is the maximum price she will pay for outstanding Borders bonds with face value of $1,000, paying 10% interest per year, with five years remaining until redemption, assuming that any gain at redemption of the bonds will be taxed as ordinary income</w:t>
      </w:r>
      <w:r w:rsidR="00E55748">
        <w:t xml:space="preserve"> at the end of year 5</w:t>
      </w:r>
      <w:r w:rsidR="00605E76">
        <w:t>?</w:t>
      </w:r>
    </w:p>
    <w:p w14:paraId="7B64200E" w14:textId="77777777" w:rsidR="00F111D6" w:rsidRDefault="00F111D6">
      <w:r>
        <w:t>Question 2: What equation defines the investor's pre-tax rate of return from the new bond?</w:t>
      </w:r>
    </w:p>
    <w:p w14:paraId="4B2EBDD2" w14:textId="77777777" w:rsidR="00ED69DF" w:rsidRDefault="00F111D6">
      <w:r>
        <w:t xml:space="preserve">Question 3: </w:t>
      </w:r>
      <w:r w:rsidR="00F3276B">
        <w:t>What is the effective tax rate on the new bond, assuming</w:t>
      </w:r>
      <w:r w:rsidR="00ED69DF">
        <w:t xml:space="preserve"> the new bond's pre-tax rate of return equals 28%.</w:t>
      </w:r>
    </w:p>
    <w:p w14:paraId="5B3505C4" w14:textId="77777777" w:rsidR="00F111D6" w:rsidRDefault="00F111D6">
      <w:r>
        <w:t>Question 4:</w:t>
      </w:r>
      <w:r w:rsidR="00F3276B">
        <w:t xml:space="preserve"> Why is the answer to question 3 lower than the 40% statutory tax rate?</w:t>
      </w:r>
    </w:p>
    <w:p w14:paraId="1C2B204C" w14:textId="50D9F26D" w:rsidR="00E55748" w:rsidRDefault="00F3276B">
      <w:r>
        <w:t>Question 5</w:t>
      </w:r>
      <w:r w:rsidR="00D022ED">
        <w:t>: Based on your answer to question 2, is this bond an asset type I, II, III, or IV, as descri</w:t>
      </w:r>
      <w:r w:rsidR="00E95406">
        <w:t>b</w:t>
      </w:r>
      <w:r w:rsidR="00D022ED">
        <w:t>ed in exercise 5 on page 163?</w:t>
      </w:r>
    </w:p>
    <w:p w14:paraId="3D82D342" w14:textId="77777777" w:rsidR="00E55748" w:rsidRDefault="00E55748" w:rsidP="00E55748">
      <w:pPr>
        <w:jc w:val="center"/>
      </w:pPr>
      <w:r>
        <w:t>* * * * *</w:t>
      </w:r>
    </w:p>
    <w:p w14:paraId="5EEF6809" w14:textId="77777777" w:rsidR="00194073" w:rsidRPr="00251183" w:rsidRDefault="006B6520">
      <w:r>
        <w:t>Answer</w:t>
      </w:r>
      <w:r w:rsidR="007744E8">
        <w:t xml:space="preserve"> 1: If the investor is willing to pa</w:t>
      </w:r>
      <w:r w:rsidR="00194073">
        <w:t>y $1,000 for the new bond, then the investor is demanding a before tax rate of return of 30% which implies an after-tax rate of return of 18%. So, if the investor is willing to pay $I for the outstanding bond, then $I = $100(1 – 0.40)/1.18 + $100(1 – 0.40)/(1.18)</w:t>
      </w:r>
      <w:r w:rsidR="00194073" w:rsidRPr="00210586">
        <w:rPr>
          <w:vertAlign w:val="superscript"/>
        </w:rPr>
        <w:t>2</w:t>
      </w:r>
      <w:r w:rsidR="00194073">
        <w:t xml:space="preserve"> + . . . + $100(1 – 0.40)/(1.18)</w:t>
      </w:r>
      <w:r w:rsidR="00194073" w:rsidRPr="00210586">
        <w:rPr>
          <w:vertAlign w:val="superscript"/>
        </w:rPr>
        <w:t>5</w:t>
      </w:r>
      <w:r w:rsidR="00194073">
        <w:t xml:space="preserve"> + $1,000/(1.18)</w:t>
      </w:r>
      <w:r w:rsidR="00194073" w:rsidRPr="00210586">
        <w:rPr>
          <w:vertAlign w:val="superscript"/>
        </w:rPr>
        <w:t>5</w:t>
      </w:r>
      <w:r w:rsidR="00E55748">
        <w:t xml:space="preserve"> – ($1,000 - $I)(</w:t>
      </w:r>
      <w:r w:rsidR="00194073">
        <w:t>0.40)/(1.18)</w:t>
      </w:r>
      <w:r w:rsidR="00194073" w:rsidRPr="00210586">
        <w:rPr>
          <w:vertAlign w:val="superscript"/>
        </w:rPr>
        <w:t>5</w:t>
      </w:r>
      <w:r w:rsidR="00251183">
        <w:t>. From t</w:t>
      </w:r>
      <w:r w:rsidR="00F3276B">
        <w:t xml:space="preserve">his equation, we get </w:t>
      </w:r>
      <w:r w:rsidR="0072156E">
        <w:t>$</w:t>
      </w:r>
      <w:r w:rsidR="00F3276B">
        <w:t xml:space="preserve">I = </w:t>
      </w:r>
      <w:r w:rsidR="0072156E">
        <w:t>$</w:t>
      </w:r>
      <w:r w:rsidR="00E55748">
        <w:t>545.22</w:t>
      </w:r>
      <w:r w:rsidR="0072156E">
        <w:t>.</w:t>
      </w:r>
    </w:p>
    <w:p w14:paraId="2177120A" w14:textId="77777777" w:rsidR="006B6520" w:rsidRDefault="006B6520">
      <w:r>
        <w:t xml:space="preserve">Answer 2: </w:t>
      </w:r>
      <w:r w:rsidR="00F111D6">
        <w:t xml:space="preserve">The pre-tax rate of return, R, is defined </w:t>
      </w:r>
      <w:r w:rsidR="00E55748">
        <w:t>by the equation $545.22</w:t>
      </w:r>
      <w:r w:rsidR="00F111D6">
        <w:t xml:space="preserve"> = $100</w:t>
      </w:r>
      <w:proofErr w:type="gramStart"/>
      <w:r w:rsidR="00F111D6">
        <w:t>/(</w:t>
      </w:r>
      <w:proofErr w:type="gramEnd"/>
      <w:r w:rsidR="00F111D6">
        <w:t>1 + R) + $100/(1 + R)</w:t>
      </w:r>
      <w:r w:rsidR="00F111D6" w:rsidRPr="00F111D6">
        <w:rPr>
          <w:vertAlign w:val="superscript"/>
        </w:rPr>
        <w:t>2</w:t>
      </w:r>
      <w:r w:rsidR="00F111D6">
        <w:t xml:space="preserve"> + . . . + 1,100/(1 + R)</w:t>
      </w:r>
      <w:r w:rsidR="00F111D6" w:rsidRPr="00F111D6">
        <w:rPr>
          <w:vertAlign w:val="superscript"/>
        </w:rPr>
        <w:t>5</w:t>
      </w:r>
      <w:r w:rsidR="00F111D6">
        <w:t>.</w:t>
      </w:r>
      <w:r w:rsidR="00251183">
        <w:t xml:space="preserve"> Solving iteratively for R yields an approximate value of </w:t>
      </w:r>
      <w:r w:rsidR="00E55748">
        <w:t>28</w:t>
      </w:r>
      <w:r w:rsidR="00F3276B">
        <w:t>%.</w:t>
      </w:r>
    </w:p>
    <w:p w14:paraId="6FFBCB44" w14:textId="77777777" w:rsidR="00F3276B" w:rsidRDefault="00F3276B">
      <w:r>
        <w:t xml:space="preserve">Answer 3: If R is the pre-tax rate of return and r is the after-tax rate of return, then r = </w:t>
      </w:r>
      <w:proofErr w:type="gramStart"/>
      <w:r>
        <w:t>R(</w:t>
      </w:r>
      <w:proofErr w:type="gramEnd"/>
      <w:r>
        <w:t>1 – t), or t = 1 - r/R</w:t>
      </w:r>
      <w:r w:rsidR="00E55748">
        <w:t>, or t = 36</w:t>
      </w:r>
      <w:r w:rsidR="0072156E">
        <w:t>%.</w:t>
      </w:r>
    </w:p>
    <w:p w14:paraId="29B1F467" w14:textId="54362594" w:rsidR="00E55748" w:rsidRDefault="00E55748">
      <w:r>
        <w:t>Answer</w:t>
      </w:r>
      <w:r w:rsidR="00E95406">
        <w:t xml:space="preserve"> </w:t>
      </w:r>
      <w:r>
        <w:t>4: Some of the risk premium in a new bond is reflected in the annual in</w:t>
      </w:r>
      <w:r w:rsidR="00605E76">
        <w:t>terest payment (because interest of</w:t>
      </w:r>
      <w:r>
        <w:t xml:space="preserve"> $100 on an investment of $545.22 is above a 10% pre-tax return) and some of the risk premium is received at the end of the five-year investment horizon and so the taxes on that component of the risk premium are deferred. Thus, this bond offers deferral of some of the tax liability, </w:t>
      </w:r>
      <w:r w:rsidR="00605E76">
        <w:t>and so a pre-tax return of only 28</w:t>
      </w:r>
      <w:r>
        <w:t xml:space="preserve">% yields an after-tax return of 18%, for an effective tax rate </w:t>
      </w:r>
      <w:r w:rsidR="00976EA4">
        <w:t xml:space="preserve">slightly </w:t>
      </w:r>
      <w:r>
        <w:t>below the statutory rate of 40%.</w:t>
      </w:r>
    </w:p>
    <w:p w14:paraId="2AF9E145" w14:textId="77777777" w:rsidR="00ED69DF" w:rsidRDefault="002E665E">
      <w:r>
        <w:t>Answer 5: A type IV</w:t>
      </w:r>
      <w:r w:rsidR="00ED69DF">
        <w:t xml:space="preserve"> asset because the risk-free return is taxed at 40% but the risk prem</w:t>
      </w:r>
      <w:r w:rsidR="00625309">
        <w:t>ium bears a lower rate of tax</w:t>
      </w:r>
      <w:r w:rsidR="00ED69DF">
        <w:t>.</w:t>
      </w:r>
    </w:p>
    <w:sectPr w:rsidR="00ED69DF" w:rsidSect="00F0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8F39" w14:textId="77777777" w:rsidR="00B90CDB" w:rsidRDefault="00B90CDB" w:rsidP="006B6520">
      <w:pPr>
        <w:spacing w:after="0" w:line="240" w:lineRule="auto"/>
      </w:pPr>
      <w:r>
        <w:separator/>
      </w:r>
    </w:p>
  </w:endnote>
  <w:endnote w:type="continuationSeparator" w:id="0">
    <w:p w14:paraId="48CA4132" w14:textId="77777777" w:rsidR="00B90CDB" w:rsidRDefault="00B90CDB" w:rsidP="006B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43C1" w14:textId="77777777" w:rsidR="00B90CDB" w:rsidRDefault="00B90CDB" w:rsidP="006B6520">
      <w:pPr>
        <w:spacing w:after="0" w:line="240" w:lineRule="auto"/>
      </w:pPr>
      <w:r>
        <w:separator/>
      </w:r>
    </w:p>
  </w:footnote>
  <w:footnote w:type="continuationSeparator" w:id="0">
    <w:p w14:paraId="0CE0E24A" w14:textId="77777777" w:rsidR="00B90CDB" w:rsidRDefault="00B90CDB" w:rsidP="006B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8D0"/>
    <w:multiLevelType w:val="hybridMultilevel"/>
    <w:tmpl w:val="D728AFDC"/>
    <w:lvl w:ilvl="0" w:tplc="23ACD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2ED"/>
    <w:rsid w:val="0001235D"/>
    <w:rsid w:val="00130903"/>
    <w:rsid w:val="00194073"/>
    <w:rsid w:val="00210586"/>
    <w:rsid w:val="00251183"/>
    <w:rsid w:val="002E665E"/>
    <w:rsid w:val="00510CC1"/>
    <w:rsid w:val="005C6888"/>
    <w:rsid w:val="00605E76"/>
    <w:rsid w:val="00625309"/>
    <w:rsid w:val="006B6520"/>
    <w:rsid w:val="006E3CDB"/>
    <w:rsid w:val="0072156E"/>
    <w:rsid w:val="00725557"/>
    <w:rsid w:val="007744E8"/>
    <w:rsid w:val="008E4778"/>
    <w:rsid w:val="00976EA4"/>
    <w:rsid w:val="00AF14F8"/>
    <w:rsid w:val="00B90CDB"/>
    <w:rsid w:val="00C4141E"/>
    <w:rsid w:val="00C90E7E"/>
    <w:rsid w:val="00D022ED"/>
    <w:rsid w:val="00D96E01"/>
    <w:rsid w:val="00E55748"/>
    <w:rsid w:val="00E95406"/>
    <w:rsid w:val="00ED69DF"/>
    <w:rsid w:val="00F005E6"/>
    <w:rsid w:val="00F111D6"/>
    <w:rsid w:val="00F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E87E"/>
  <w15:docId w15:val="{D03C72F4-8675-4A24-9E37-6F0B42C6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65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5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5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0A70-D61D-49E4-A3CE-C0BA4DE6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E Abrams</dc:creator>
  <cp:lastModifiedBy>Howard Abrams</cp:lastModifiedBy>
  <cp:revision>11</cp:revision>
  <cp:lastPrinted>2011-02-21T06:01:00Z</cp:lastPrinted>
  <dcterms:created xsi:type="dcterms:W3CDTF">2011-02-18T16:30:00Z</dcterms:created>
  <dcterms:modified xsi:type="dcterms:W3CDTF">2019-06-11T17:28:00Z</dcterms:modified>
</cp:coreProperties>
</file>