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40490F" w14:textId="50BD0467" w:rsidR="00995800" w:rsidRPr="00FA6749" w:rsidRDefault="00431750" w:rsidP="006A69B1">
      <w:pPr>
        <w:numPr>
          <w:ilvl w:val="0"/>
          <w:numId w:val="1"/>
        </w:numPr>
        <w:spacing w:after="200" w:line="276" w:lineRule="auto"/>
        <w:contextualSpacing/>
        <w:rPr>
          <w:rFonts w:ascii="Calibri" w:eastAsia="Times New Roman" w:hAnsi="Calibri" w:cs="Times New Roman"/>
          <w:sz w:val="36"/>
          <w:szCs w:val="28"/>
        </w:rPr>
      </w:pPr>
      <w:r w:rsidRPr="00FA6749">
        <w:rPr>
          <w:rFonts w:ascii="Calibri" w:eastAsia="Times New Roman" w:hAnsi="Calibri" w:cs="Times New Roman"/>
          <w:sz w:val="36"/>
          <w:szCs w:val="28"/>
        </w:rPr>
        <w:t>T</w:t>
      </w:r>
      <w:r w:rsidR="00995800" w:rsidRPr="00FA6749">
        <w:rPr>
          <w:rFonts w:ascii="Calibri" w:eastAsia="Times New Roman" w:hAnsi="Calibri" w:cs="Times New Roman"/>
          <w:sz w:val="36"/>
          <w:szCs w:val="28"/>
        </w:rPr>
        <w:t>ax</w:t>
      </w:r>
      <w:r w:rsidR="006A69B1" w:rsidRPr="00FA6749">
        <w:rPr>
          <w:rFonts w:ascii="Calibri" w:eastAsia="Times New Roman" w:hAnsi="Calibri" w:cs="Times New Roman"/>
          <w:sz w:val="36"/>
          <w:szCs w:val="28"/>
        </w:rPr>
        <w:t>-Free Acquisitions of Freestanding</w:t>
      </w:r>
      <w:r w:rsidR="00995800" w:rsidRPr="00FA6749">
        <w:rPr>
          <w:rFonts w:ascii="Calibri" w:eastAsia="Times New Roman" w:hAnsi="Calibri" w:cs="Times New Roman"/>
          <w:sz w:val="36"/>
          <w:szCs w:val="28"/>
        </w:rPr>
        <w:t xml:space="preserve"> Corporations</w:t>
      </w:r>
    </w:p>
    <w:p w14:paraId="2DABC66D" w14:textId="11F59366" w:rsidR="00995800" w:rsidRPr="00FA6749" w:rsidRDefault="006A69B1" w:rsidP="00D80B8E">
      <w:pPr>
        <w:numPr>
          <w:ilvl w:val="1"/>
          <w:numId w:val="1"/>
        </w:numPr>
        <w:spacing w:after="200" w:line="276" w:lineRule="auto"/>
        <w:contextualSpacing/>
        <w:rPr>
          <w:rFonts w:ascii="Calibri" w:eastAsia="Times New Roman" w:hAnsi="Calibri" w:cs="Times New Roman"/>
          <w:sz w:val="36"/>
          <w:szCs w:val="28"/>
        </w:rPr>
      </w:pPr>
      <w:r w:rsidRPr="00FA6749">
        <w:rPr>
          <w:rFonts w:ascii="Calibri" w:eastAsia="Times New Roman" w:hAnsi="Calibri" w:cs="Times New Roman"/>
          <w:sz w:val="36"/>
          <w:szCs w:val="28"/>
        </w:rPr>
        <w:t>Basic Types of Tax-Free Reorganizations</w:t>
      </w:r>
      <w:r w:rsidR="00995800" w:rsidRPr="00FA6749">
        <w:rPr>
          <w:rFonts w:ascii="Calibri" w:eastAsia="Times New Roman" w:hAnsi="Calibri" w:cs="Times New Roman"/>
          <w:sz w:val="36"/>
          <w:szCs w:val="28"/>
        </w:rPr>
        <w:t xml:space="preserve">: </w:t>
      </w:r>
      <w:r w:rsidR="000F2D3D" w:rsidRPr="00FA6749">
        <w:rPr>
          <w:rFonts w:ascii="Calibri" w:eastAsia="Times New Roman" w:hAnsi="Calibri" w:cs="Times New Roman"/>
          <w:sz w:val="36"/>
          <w:szCs w:val="28"/>
        </w:rPr>
        <w:t xml:space="preserve">In this Chapter, we will consider </w:t>
      </w:r>
      <w:r w:rsidR="00874B94" w:rsidRPr="00FA6749">
        <w:rPr>
          <w:rFonts w:ascii="Calibri" w:eastAsia="Times New Roman" w:hAnsi="Calibri" w:cs="Times New Roman"/>
          <w:sz w:val="36"/>
          <w:szCs w:val="28"/>
        </w:rPr>
        <w:t>four</w:t>
      </w:r>
      <w:r w:rsidR="000F2D3D" w:rsidRPr="00FA6749">
        <w:rPr>
          <w:rFonts w:ascii="Calibri" w:eastAsia="Times New Roman" w:hAnsi="Calibri" w:cs="Times New Roman"/>
          <w:sz w:val="36"/>
          <w:szCs w:val="28"/>
        </w:rPr>
        <w:t xml:space="preserve"> different ways (with triangular variations) of combining corporations on a tax-free basis. Note that there are other ways of combining corporations in a tax-free manner, but these are the </w:t>
      </w:r>
      <w:r w:rsidR="00E40661" w:rsidRPr="00FA6749">
        <w:rPr>
          <w:rFonts w:ascii="Calibri" w:eastAsia="Times New Roman" w:hAnsi="Calibri" w:cs="Times New Roman"/>
          <w:sz w:val="36"/>
          <w:szCs w:val="28"/>
        </w:rPr>
        <w:t>principal</w:t>
      </w:r>
      <w:r w:rsidR="000F2D3D" w:rsidRPr="00FA6749">
        <w:rPr>
          <w:rFonts w:ascii="Calibri" w:eastAsia="Times New Roman" w:hAnsi="Calibri" w:cs="Times New Roman"/>
          <w:sz w:val="36"/>
          <w:szCs w:val="28"/>
        </w:rPr>
        <w:t xml:space="preserve"> ways such combinations are accomplished. Three of the techniques are in §368(a)(1): the “A” (§368(a)(1)(A)), the “B” (§368(a)(1)(B)), and the “C” (§368(a)(1)(C)). The fourth technique uses §351, a provision that also applies to simple corporate formations.</w:t>
      </w:r>
      <w:r w:rsidR="00783A4E" w:rsidRPr="00FA6749">
        <w:rPr>
          <w:rFonts w:ascii="Calibri" w:eastAsia="Times New Roman" w:hAnsi="Calibri" w:cs="Times New Roman"/>
          <w:sz w:val="36"/>
          <w:szCs w:val="28"/>
        </w:rPr>
        <w:t xml:space="preserve"> A comparison of the techniques is in Table 14.1 (p. 14-3).</w:t>
      </w:r>
      <w:r w:rsidR="00995800" w:rsidRPr="00FA6749">
        <w:rPr>
          <w:rFonts w:ascii="Calibri" w:eastAsia="Times New Roman" w:hAnsi="Calibri" w:cs="Times New Roman"/>
          <w:sz w:val="36"/>
          <w:szCs w:val="28"/>
        </w:rPr>
        <w:t xml:space="preserve">                                 </w:t>
      </w:r>
    </w:p>
    <w:p w14:paraId="31E80829" w14:textId="3333A726" w:rsidR="00995800" w:rsidRPr="00FA6749" w:rsidRDefault="006A69B1" w:rsidP="00995800">
      <w:pPr>
        <w:numPr>
          <w:ilvl w:val="1"/>
          <w:numId w:val="1"/>
        </w:numPr>
        <w:spacing w:after="200" w:line="276" w:lineRule="auto"/>
        <w:contextualSpacing/>
        <w:rPr>
          <w:rFonts w:ascii="Calibri" w:eastAsia="Times New Roman" w:hAnsi="Calibri" w:cs="Times New Roman"/>
          <w:sz w:val="36"/>
          <w:szCs w:val="28"/>
        </w:rPr>
      </w:pPr>
      <w:r w:rsidRPr="00FA6749">
        <w:rPr>
          <w:rFonts w:ascii="Calibri" w:eastAsia="Times New Roman" w:hAnsi="Calibri" w:cs="Times New Roman"/>
          <w:sz w:val="36"/>
          <w:szCs w:val="28"/>
        </w:rPr>
        <w:t>Section 368 “A” Reorganization: Statutory Merger</w:t>
      </w:r>
      <w:r w:rsidR="00995800" w:rsidRPr="00FA6749">
        <w:rPr>
          <w:rFonts w:ascii="Calibri" w:eastAsia="Times New Roman" w:hAnsi="Calibri" w:cs="Times New Roman"/>
          <w:sz w:val="36"/>
          <w:szCs w:val="28"/>
        </w:rPr>
        <w:t xml:space="preserve">: </w:t>
      </w:r>
      <w:r w:rsidR="006B7D64" w:rsidRPr="00FA6749">
        <w:rPr>
          <w:rFonts w:ascii="Calibri" w:eastAsia="Times New Roman" w:hAnsi="Calibri" w:cs="Times New Roman"/>
          <w:sz w:val="36"/>
          <w:szCs w:val="28"/>
        </w:rPr>
        <w:t>A tax-free reorganization under §368(a)(1)(A) must be accomplished by satisfying the terms of a merger statute under applicable state or federal law. But not all statutory mergers qualify under §368(a)(1)(A) for tax-free treatment: the courts have imposed additional requirements, discussed below.</w:t>
      </w:r>
      <w:r w:rsidR="00254A27" w:rsidRPr="00FA6749">
        <w:rPr>
          <w:rFonts w:ascii="Calibri" w:eastAsia="Times New Roman" w:hAnsi="Calibri" w:cs="Times New Roman"/>
          <w:sz w:val="36"/>
          <w:szCs w:val="28"/>
        </w:rPr>
        <w:t xml:space="preserve"> Because the target corporation ceases to exist after a statutory merger, all of its outstanding stock necessarily is cancelled. As consideration for their cancelled target shares, the former target shareholders will receive some combination of stock </w:t>
      </w:r>
      <w:r w:rsidR="00254A27" w:rsidRPr="00FA6749">
        <w:rPr>
          <w:rFonts w:ascii="Calibri" w:eastAsia="Times New Roman" w:hAnsi="Calibri" w:cs="Times New Roman"/>
          <w:sz w:val="36"/>
          <w:szCs w:val="28"/>
        </w:rPr>
        <w:lastRenderedPageBreak/>
        <w:t>of the acquiring corporation, cash, property, and debt of the acquiring corporation.</w:t>
      </w:r>
      <w:r w:rsidR="00254A27" w:rsidRPr="00FA6749">
        <w:rPr>
          <w:rStyle w:val="FootnoteReference"/>
          <w:rFonts w:ascii="Calibri" w:eastAsia="Times New Roman" w:hAnsi="Calibri" w:cs="Times New Roman"/>
          <w:sz w:val="36"/>
          <w:szCs w:val="28"/>
        </w:rPr>
        <w:footnoteReference w:id="1"/>
      </w:r>
      <w:r w:rsidR="008664BA" w:rsidRPr="00FA6749">
        <w:rPr>
          <w:rFonts w:ascii="Calibri" w:eastAsia="Times New Roman" w:hAnsi="Calibri" w:cs="Times New Roman"/>
          <w:sz w:val="36"/>
          <w:szCs w:val="28"/>
        </w:rPr>
        <w:t xml:space="preserve"> Note: the merger can be structured with either corporation as the surviving entity. Of course, if the target corporation survives, the acquiring shareholders will acquire shares sufficient to represent majority ownership of the surviving corporation.</w:t>
      </w:r>
    </w:p>
    <w:p w14:paraId="3DCD5CDA" w14:textId="77777777" w:rsidR="006642E3" w:rsidRPr="00FA6749" w:rsidRDefault="006A69B1" w:rsidP="006A69B1">
      <w:pPr>
        <w:numPr>
          <w:ilvl w:val="2"/>
          <w:numId w:val="1"/>
        </w:numPr>
        <w:spacing w:after="200" w:line="276" w:lineRule="auto"/>
        <w:contextualSpacing/>
        <w:rPr>
          <w:rFonts w:ascii="Calibri" w:eastAsia="Times New Roman" w:hAnsi="Calibri" w:cs="Times New Roman"/>
          <w:sz w:val="36"/>
          <w:szCs w:val="28"/>
        </w:rPr>
      </w:pPr>
      <w:r w:rsidRPr="00FA6749">
        <w:rPr>
          <w:rFonts w:ascii="Calibri" w:eastAsia="Times New Roman" w:hAnsi="Calibri" w:cs="Times New Roman"/>
          <w:sz w:val="36"/>
          <w:szCs w:val="28"/>
        </w:rPr>
        <w:t>Requirements to Qualify for Tax-Free Treatment under Section 368(a)(1)(A)</w:t>
      </w:r>
      <w:r w:rsidR="006642E3" w:rsidRPr="00FA6749">
        <w:rPr>
          <w:rFonts w:ascii="Calibri" w:eastAsia="Times New Roman" w:hAnsi="Calibri" w:cs="Times New Roman"/>
          <w:sz w:val="36"/>
          <w:szCs w:val="28"/>
        </w:rPr>
        <w:t>: The courts have imposed three requirements on statutory mergers if they are to qualify as “A” reorganizations: (1) continuity of proprietary interest; (2) continuity of business enterprise; and (3) business purpose.</w:t>
      </w:r>
    </w:p>
    <w:p w14:paraId="217DC481" w14:textId="3B28D214" w:rsidR="006A69B1" w:rsidRPr="00FA6749" w:rsidRDefault="006642E3" w:rsidP="006642E3">
      <w:pPr>
        <w:numPr>
          <w:ilvl w:val="3"/>
          <w:numId w:val="1"/>
        </w:numPr>
        <w:spacing w:after="200" w:line="276" w:lineRule="auto"/>
        <w:contextualSpacing/>
        <w:rPr>
          <w:rFonts w:ascii="Calibri" w:eastAsia="Times New Roman" w:hAnsi="Calibri" w:cs="Times New Roman"/>
          <w:sz w:val="36"/>
          <w:szCs w:val="28"/>
        </w:rPr>
      </w:pPr>
      <w:r w:rsidRPr="00FA6749">
        <w:rPr>
          <w:rFonts w:ascii="Calibri" w:eastAsia="Times New Roman" w:hAnsi="Calibri" w:cs="Times New Roman"/>
          <w:sz w:val="36"/>
          <w:szCs w:val="28"/>
        </w:rPr>
        <w:t xml:space="preserve">Continuity of proprietary interest requires that a significant portion of the consideration received by the target shareholders be equity in the acquiring corporation. For our purposes, a “significant portion” is at least 40% of the total consideration. The stock may be common or preferred and may be voting or nonvoting, but debt interests will not satisfy the requirement. Note that this </w:t>
      </w:r>
      <w:r w:rsidRPr="00FA6749">
        <w:rPr>
          <w:rFonts w:ascii="Calibri" w:eastAsia="Times New Roman" w:hAnsi="Calibri" w:cs="Times New Roman"/>
          <w:sz w:val="36"/>
          <w:szCs w:val="28"/>
        </w:rPr>
        <w:lastRenderedPageBreak/>
        <w:t>requirement looks only at the total consideration used. For example, 60% of the purchase price may be paid in cash to some group of shareholders while 40% of the consideration can be stock given to a different group of shareholders.</w:t>
      </w:r>
    </w:p>
    <w:p w14:paraId="7AB32409" w14:textId="21B35DB8" w:rsidR="006642E3" w:rsidRPr="00FA6749" w:rsidRDefault="006642E3" w:rsidP="006642E3">
      <w:pPr>
        <w:numPr>
          <w:ilvl w:val="3"/>
          <w:numId w:val="1"/>
        </w:numPr>
        <w:spacing w:after="200" w:line="276" w:lineRule="auto"/>
        <w:contextualSpacing/>
        <w:rPr>
          <w:rFonts w:ascii="Calibri" w:eastAsia="Times New Roman" w:hAnsi="Calibri" w:cs="Times New Roman"/>
          <w:sz w:val="36"/>
          <w:szCs w:val="28"/>
        </w:rPr>
      </w:pPr>
      <w:r w:rsidRPr="00FA6749">
        <w:rPr>
          <w:rFonts w:ascii="Calibri" w:eastAsia="Times New Roman" w:hAnsi="Calibri" w:cs="Times New Roman"/>
          <w:sz w:val="36"/>
          <w:szCs w:val="28"/>
        </w:rPr>
        <w:t>Continuity of business enterprise requires that the acquiring corporation continue the target corporation’s business in some form. For ou</w:t>
      </w:r>
      <w:r w:rsidR="006D5C63" w:rsidRPr="00FA6749">
        <w:rPr>
          <w:rFonts w:ascii="Calibri" w:eastAsia="Times New Roman" w:hAnsi="Calibri" w:cs="Times New Roman"/>
          <w:sz w:val="36"/>
          <w:szCs w:val="28"/>
        </w:rPr>
        <w:t>r</w:t>
      </w:r>
      <w:r w:rsidRPr="00FA6749">
        <w:rPr>
          <w:rFonts w:ascii="Calibri" w:eastAsia="Times New Roman" w:hAnsi="Calibri" w:cs="Times New Roman"/>
          <w:sz w:val="36"/>
          <w:szCs w:val="28"/>
        </w:rPr>
        <w:t xml:space="preserve"> purposes, that means it continues to use the target’s assets in any business.</w:t>
      </w:r>
    </w:p>
    <w:p w14:paraId="152CF805" w14:textId="5342E1DA" w:rsidR="006642E3" w:rsidRPr="00FA6749" w:rsidRDefault="006642E3" w:rsidP="006642E3">
      <w:pPr>
        <w:numPr>
          <w:ilvl w:val="3"/>
          <w:numId w:val="1"/>
        </w:numPr>
        <w:spacing w:after="200" w:line="276" w:lineRule="auto"/>
        <w:contextualSpacing/>
        <w:rPr>
          <w:rFonts w:ascii="Calibri" w:eastAsia="Times New Roman" w:hAnsi="Calibri" w:cs="Times New Roman"/>
          <w:sz w:val="36"/>
          <w:szCs w:val="28"/>
        </w:rPr>
      </w:pPr>
      <w:r w:rsidRPr="00FA6749">
        <w:rPr>
          <w:rFonts w:ascii="Calibri" w:eastAsia="Times New Roman" w:hAnsi="Calibri" w:cs="Times New Roman"/>
          <w:sz w:val="36"/>
          <w:szCs w:val="28"/>
        </w:rPr>
        <w:t>Business purpose is a general gloss on al</w:t>
      </w:r>
      <w:r w:rsidR="00B8377E" w:rsidRPr="00FA6749">
        <w:rPr>
          <w:rFonts w:ascii="Calibri" w:eastAsia="Times New Roman" w:hAnsi="Calibri" w:cs="Times New Roman"/>
          <w:sz w:val="36"/>
          <w:szCs w:val="28"/>
        </w:rPr>
        <w:t>l</w:t>
      </w:r>
      <w:r w:rsidRPr="00FA6749">
        <w:rPr>
          <w:rFonts w:ascii="Calibri" w:eastAsia="Times New Roman" w:hAnsi="Calibri" w:cs="Times New Roman"/>
          <w:sz w:val="36"/>
          <w:szCs w:val="28"/>
        </w:rPr>
        <w:t xml:space="preserve"> the reorganization forms and is not discussed in the text.</w:t>
      </w:r>
    </w:p>
    <w:p w14:paraId="268035FD" w14:textId="77777777" w:rsidR="00216B31" w:rsidRPr="00FA6749" w:rsidRDefault="006A69B1" w:rsidP="006A69B1">
      <w:pPr>
        <w:numPr>
          <w:ilvl w:val="2"/>
          <w:numId w:val="1"/>
        </w:numPr>
        <w:spacing w:after="200" w:line="276" w:lineRule="auto"/>
        <w:contextualSpacing/>
        <w:rPr>
          <w:rFonts w:ascii="Calibri" w:eastAsia="Times New Roman" w:hAnsi="Calibri" w:cs="Times New Roman"/>
          <w:sz w:val="36"/>
          <w:szCs w:val="28"/>
        </w:rPr>
      </w:pPr>
      <w:r w:rsidRPr="00FA6749">
        <w:rPr>
          <w:rFonts w:ascii="Calibri" w:eastAsia="Times New Roman" w:hAnsi="Calibri" w:cs="Times New Roman"/>
          <w:sz w:val="36"/>
          <w:szCs w:val="28"/>
        </w:rPr>
        <w:t>Tax Consequences of a Section 368 “A”</w:t>
      </w:r>
      <w:r w:rsidR="0066167E" w:rsidRPr="00FA6749">
        <w:rPr>
          <w:rFonts w:ascii="Calibri" w:eastAsia="Times New Roman" w:hAnsi="Calibri" w:cs="Times New Roman"/>
          <w:sz w:val="36"/>
          <w:szCs w:val="28"/>
        </w:rPr>
        <w:t>:</w:t>
      </w:r>
    </w:p>
    <w:p w14:paraId="14E67E65" w14:textId="77777777" w:rsidR="00216B31" w:rsidRPr="00FA6749" w:rsidRDefault="0066167E" w:rsidP="00216B31">
      <w:pPr>
        <w:numPr>
          <w:ilvl w:val="3"/>
          <w:numId w:val="1"/>
        </w:numPr>
        <w:spacing w:after="200" w:line="276" w:lineRule="auto"/>
        <w:contextualSpacing/>
        <w:rPr>
          <w:rFonts w:ascii="Calibri" w:eastAsia="Times New Roman" w:hAnsi="Calibri" w:cs="Times New Roman"/>
          <w:sz w:val="36"/>
          <w:szCs w:val="28"/>
        </w:rPr>
      </w:pPr>
      <w:r w:rsidRPr="00FA6749">
        <w:rPr>
          <w:rFonts w:ascii="Calibri" w:eastAsia="Times New Roman" w:hAnsi="Calibri" w:cs="Times New Roman"/>
          <w:sz w:val="36"/>
          <w:szCs w:val="28"/>
        </w:rPr>
        <w:t>There is no tax imposed on the target corporation participating in an “A” reorganization.</w:t>
      </w:r>
    </w:p>
    <w:p w14:paraId="36858D5B" w14:textId="0D95AA31" w:rsidR="006A69B1" w:rsidRPr="00FA6749" w:rsidRDefault="00EE5A57" w:rsidP="00216B31">
      <w:pPr>
        <w:numPr>
          <w:ilvl w:val="3"/>
          <w:numId w:val="1"/>
        </w:numPr>
        <w:spacing w:after="200" w:line="276" w:lineRule="auto"/>
        <w:contextualSpacing/>
        <w:rPr>
          <w:rFonts w:ascii="Calibri" w:eastAsia="Times New Roman" w:hAnsi="Calibri" w:cs="Times New Roman"/>
          <w:sz w:val="36"/>
          <w:szCs w:val="28"/>
        </w:rPr>
      </w:pPr>
      <w:r w:rsidRPr="00FA6749">
        <w:rPr>
          <w:rFonts w:ascii="Calibri" w:eastAsia="Times New Roman" w:hAnsi="Calibri" w:cs="Times New Roman"/>
          <w:sz w:val="36"/>
          <w:szCs w:val="28"/>
        </w:rPr>
        <w:t>If the target shareholders receive on</w:t>
      </w:r>
      <w:r w:rsidR="00E03B60" w:rsidRPr="00FA6749">
        <w:rPr>
          <w:rFonts w:ascii="Calibri" w:eastAsia="Times New Roman" w:hAnsi="Calibri" w:cs="Times New Roman"/>
          <w:sz w:val="36"/>
          <w:szCs w:val="28"/>
        </w:rPr>
        <w:t>ly</w:t>
      </w:r>
      <w:r w:rsidRPr="00FA6749">
        <w:rPr>
          <w:rFonts w:ascii="Calibri" w:eastAsia="Times New Roman" w:hAnsi="Calibri" w:cs="Times New Roman"/>
          <w:sz w:val="36"/>
          <w:szCs w:val="28"/>
        </w:rPr>
        <w:t xml:space="preserve"> stock of the acquiring corporation</w:t>
      </w:r>
      <w:r w:rsidR="00E03B60" w:rsidRPr="00FA6749">
        <w:rPr>
          <w:rFonts w:ascii="Calibri" w:eastAsia="Times New Roman" w:hAnsi="Calibri" w:cs="Times New Roman"/>
          <w:sz w:val="36"/>
          <w:szCs w:val="28"/>
        </w:rPr>
        <w:t xml:space="preserve"> in exchange for their cancelled shares of the target corporation, the exchange is tax-free to the shareholders. But to the extent a shareholder receives consideration for the </w:t>
      </w:r>
      <w:r w:rsidR="00E03B60" w:rsidRPr="00FA6749">
        <w:rPr>
          <w:rFonts w:ascii="Calibri" w:eastAsia="Times New Roman" w:hAnsi="Calibri" w:cs="Times New Roman"/>
          <w:sz w:val="36"/>
          <w:szCs w:val="28"/>
        </w:rPr>
        <w:lastRenderedPageBreak/>
        <w:t xml:space="preserve">cancelled shares other than stock of the acquiring corporation, the shareholder recognizes gain equal to the </w:t>
      </w:r>
      <w:r w:rsidR="00E03B60" w:rsidRPr="00FA6749">
        <w:rPr>
          <w:rFonts w:ascii="Calibri" w:eastAsia="Times New Roman" w:hAnsi="Calibri" w:cs="Times New Roman"/>
          <w:i/>
          <w:iCs/>
          <w:sz w:val="36"/>
          <w:szCs w:val="28"/>
        </w:rPr>
        <w:t>lesser of</w:t>
      </w:r>
      <w:r w:rsidR="00E03B60" w:rsidRPr="00FA6749">
        <w:rPr>
          <w:rFonts w:ascii="Calibri" w:eastAsia="Times New Roman" w:hAnsi="Calibri" w:cs="Times New Roman"/>
          <w:sz w:val="36"/>
          <w:szCs w:val="28"/>
        </w:rPr>
        <w:t xml:space="preserve"> (1) the shareholder’s realized gain on the exchange and (2) the value of the property (other than stock of the acquiring corporation) received in the exchange. The realized gain on the exchange is the excess, if any, of the value of the shareholder’s cancelled shares over the value of shareholder’s basis in the cancelled shares. </w:t>
      </w:r>
      <w:r w:rsidR="00216B31" w:rsidRPr="00FA6749">
        <w:rPr>
          <w:rFonts w:ascii="Calibri" w:eastAsia="Times New Roman" w:hAnsi="Calibri" w:cs="Times New Roman"/>
          <w:sz w:val="36"/>
          <w:szCs w:val="28"/>
        </w:rPr>
        <w:t>Any gain recognized by shareholders is capital gain, and we will assume it is taxed at 20% as long-term capital gain</w:t>
      </w:r>
      <w:r w:rsidR="007B4339" w:rsidRPr="00FA6749">
        <w:rPr>
          <w:rFonts w:ascii="Calibri" w:eastAsia="Times New Roman" w:hAnsi="Calibri" w:cs="Times New Roman"/>
          <w:sz w:val="36"/>
          <w:szCs w:val="28"/>
        </w:rPr>
        <w:t xml:space="preserve"> (and so we are assuming the target shareholders </w:t>
      </w:r>
      <w:r w:rsidR="00344F39" w:rsidRPr="00FA6749">
        <w:rPr>
          <w:rFonts w:ascii="Calibri" w:eastAsia="Times New Roman" w:hAnsi="Calibri" w:cs="Times New Roman"/>
          <w:sz w:val="36"/>
          <w:szCs w:val="28"/>
        </w:rPr>
        <w:t>are not</w:t>
      </w:r>
      <w:r w:rsidR="007B4339" w:rsidRPr="00FA6749">
        <w:rPr>
          <w:rFonts w:ascii="Calibri" w:eastAsia="Times New Roman" w:hAnsi="Calibri" w:cs="Times New Roman"/>
          <w:sz w:val="36"/>
          <w:szCs w:val="28"/>
        </w:rPr>
        <w:t xml:space="preserve"> C corporations)</w:t>
      </w:r>
      <w:r w:rsidR="00216B31" w:rsidRPr="00FA6749">
        <w:rPr>
          <w:rFonts w:ascii="Calibri" w:eastAsia="Times New Roman" w:hAnsi="Calibri" w:cs="Times New Roman"/>
          <w:sz w:val="36"/>
          <w:szCs w:val="28"/>
        </w:rPr>
        <w:t xml:space="preserve">. </w:t>
      </w:r>
      <w:r w:rsidR="00E03B60" w:rsidRPr="00FA6749">
        <w:rPr>
          <w:rFonts w:ascii="Calibri" w:eastAsia="Times New Roman" w:hAnsi="Calibri" w:cs="Times New Roman"/>
          <w:sz w:val="36"/>
          <w:szCs w:val="28"/>
        </w:rPr>
        <w:t>Property other than stock of the acquiring corporation usually is called “boot.” Note that loss cannot be recognized by the shareholder on the exchange.</w:t>
      </w:r>
    </w:p>
    <w:p w14:paraId="2F5CC7FB" w14:textId="75B61E5A" w:rsidR="00216B31" w:rsidRPr="00FA6749" w:rsidRDefault="00216B31" w:rsidP="00216B31">
      <w:pPr>
        <w:numPr>
          <w:ilvl w:val="3"/>
          <w:numId w:val="1"/>
        </w:numPr>
        <w:spacing w:after="200" w:line="276" w:lineRule="auto"/>
        <w:contextualSpacing/>
        <w:rPr>
          <w:rFonts w:ascii="Calibri" w:eastAsia="Times New Roman" w:hAnsi="Calibri" w:cs="Times New Roman"/>
          <w:sz w:val="36"/>
          <w:szCs w:val="28"/>
        </w:rPr>
      </w:pPr>
      <w:r w:rsidRPr="00FA6749">
        <w:rPr>
          <w:rFonts w:ascii="Calibri" w:eastAsia="Times New Roman" w:hAnsi="Calibri" w:cs="Times New Roman"/>
          <w:sz w:val="36"/>
          <w:szCs w:val="28"/>
        </w:rPr>
        <w:t xml:space="preserve">There is no tax imposed on the acquiring corporation unless the consideration it furnishes to the target shareholders </w:t>
      </w:r>
      <w:r w:rsidR="00C72932" w:rsidRPr="00FA6749">
        <w:rPr>
          <w:rFonts w:ascii="Calibri" w:eastAsia="Times New Roman" w:hAnsi="Calibri" w:cs="Times New Roman"/>
          <w:sz w:val="36"/>
          <w:szCs w:val="28"/>
        </w:rPr>
        <w:t>includes</w:t>
      </w:r>
      <w:r w:rsidRPr="00FA6749">
        <w:rPr>
          <w:rFonts w:ascii="Calibri" w:eastAsia="Times New Roman" w:hAnsi="Calibri" w:cs="Times New Roman"/>
          <w:sz w:val="36"/>
          <w:szCs w:val="28"/>
        </w:rPr>
        <w:t xml:space="preserve"> appreciated property. We will assume that the acquiring corporation uses only cash and its own </w:t>
      </w:r>
      <w:r w:rsidRPr="00FA6749">
        <w:rPr>
          <w:rFonts w:ascii="Calibri" w:eastAsia="Times New Roman" w:hAnsi="Calibri" w:cs="Times New Roman"/>
          <w:sz w:val="36"/>
          <w:szCs w:val="28"/>
        </w:rPr>
        <w:lastRenderedPageBreak/>
        <w:t>stock, so that the acquiring corporation does not recognize gain or loss on the transaction.</w:t>
      </w:r>
      <w:r w:rsidR="00406CB2" w:rsidRPr="00FA6749">
        <w:rPr>
          <w:rFonts w:ascii="Calibri" w:eastAsia="Times New Roman" w:hAnsi="Calibri" w:cs="Times New Roman"/>
          <w:sz w:val="36"/>
          <w:szCs w:val="28"/>
        </w:rPr>
        <w:t xml:space="preserve"> The acquiring corporation takes a carry-over basis in the target’s assets.</w:t>
      </w:r>
    </w:p>
    <w:p w14:paraId="710B5480" w14:textId="0B8AB63E" w:rsidR="00B33DFF" w:rsidRPr="00FA6749" w:rsidRDefault="00B33DFF" w:rsidP="00216B31">
      <w:pPr>
        <w:numPr>
          <w:ilvl w:val="3"/>
          <w:numId w:val="1"/>
        </w:numPr>
        <w:spacing w:after="200" w:line="276" w:lineRule="auto"/>
        <w:contextualSpacing/>
        <w:rPr>
          <w:rFonts w:ascii="Calibri" w:eastAsia="Times New Roman" w:hAnsi="Calibri" w:cs="Times New Roman"/>
          <w:sz w:val="36"/>
          <w:szCs w:val="28"/>
        </w:rPr>
      </w:pPr>
      <w:r w:rsidRPr="00FA6749">
        <w:rPr>
          <w:rFonts w:ascii="Calibri" w:eastAsia="Times New Roman" w:hAnsi="Calibri" w:cs="Times New Roman"/>
          <w:sz w:val="36"/>
          <w:szCs w:val="28"/>
        </w:rPr>
        <w:t>Look at Table 14.2 (p. 14-5). The first column shows the tax consequences of an “A” reorganization. Note that this example assumes the consideration furnished by the acquiring corporation is 60% stock and 40% cash so that there is gain recognition to the shareholders. If the consideration had been entirely stock, there would be no gain recognition to any participant, and target shareholder’s after-tax wealth would equal $685.00.</w:t>
      </w:r>
      <w:r w:rsidR="007B4339" w:rsidRPr="00FA6749">
        <w:rPr>
          <w:rFonts w:ascii="Calibri" w:eastAsia="Times New Roman" w:hAnsi="Calibri" w:cs="Times New Roman"/>
          <w:sz w:val="36"/>
          <w:szCs w:val="28"/>
        </w:rPr>
        <w:t xml:space="preserve"> Note that any target shareholder</w:t>
      </w:r>
      <w:r w:rsidR="00F94327" w:rsidRPr="00FA6749">
        <w:rPr>
          <w:rFonts w:ascii="Calibri" w:eastAsia="Times New Roman" w:hAnsi="Calibri" w:cs="Times New Roman"/>
          <w:sz w:val="36"/>
          <w:szCs w:val="28"/>
        </w:rPr>
        <w:t>-</w:t>
      </w:r>
      <w:r w:rsidR="007B4339" w:rsidRPr="00FA6749">
        <w:rPr>
          <w:rFonts w:ascii="Calibri" w:eastAsia="Times New Roman" w:hAnsi="Calibri" w:cs="Times New Roman"/>
          <w:sz w:val="36"/>
          <w:szCs w:val="28"/>
        </w:rPr>
        <w:t>realized gain that is not recognized on the exchange is deferred but not exempted from taxation</w:t>
      </w:r>
      <w:r w:rsidR="00331209" w:rsidRPr="00FA6749">
        <w:rPr>
          <w:rStyle w:val="FootnoteReference"/>
          <w:rFonts w:ascii="Calibri" w:eastAsia="Times New Roman" w:hAnsi="Calibri" w:cs="Times New Roman"/>
          <w:sz w:val="36"/>
          <w:szCs w:val="28"/>
        </w:rPr>
        <w:footnoteReference w:id="2"/>
      </w:r>
      <w:r w:rsidR="007B4339" w:rsidRPr="00FA6749">
        <w:rPr>
          <w:rFonts w:ascii="Calibri" w:eastAsia="Times New Roman" w:hAnsi="Calibri" w:cs="Times New Roman"/>
          <w:sz w:val="36"/>
          <w:szCs w:val="28"/>
        </w:rPr>
        <w:t xml:space="preserve"> unless the shareholder dies without selling the acquiring corporation shares.</w:t>
      </w:r>
      <w:r w:rsidR="008347A4" w:rsidRPr="00FA6749">
        <w:rPr>
          <w:rFonts w:ascii="Calibri" w:eastAsia="Times New Roman" w:hAnsi="Calibri" w:cs="Times New Roman"/>
          <w:sz w:val="36"/>
          <w:szCs w:val="28"/>
        </w:rPr>
        <w:t xml:space="preserve"> The example assumes all acquiring stock received by the target shareholders will be held until death.</w:t>
      </w:r>
    </w:p>
    <w:p w14:paraId="3C785B33" w14:textId="77777777" w:rsidR="00A24AF5" w:rsidRPr="00FA6749" w:rsidRDefault="006A69B1" w:rsidP="006A69B1">
      <w:pPr>
        <w:numPr>
          <w:ilvl w:val="2"/>
          <w:numId w:val="1"/>
        </w:numPr>
        <w:spacing w:after="200" w:line="276" w:lineRule="auto"/>
        <w:contextualSpacing/>
        <w:rPr>
          <w:rFonts w:ascii="Calibri" w:eastAsia="Times New Roman" w:hAnsi="Calibri" w:cs="Times New Roman"/>
          <w:sz w:val="36"/>
          <w:szCs w:val="28"/>
        </w:rPr>
      </w:pPr>
      <w:r w:rsidRPr="00FA6749">
        <w:rPr>
          <w:rFonts w:ascii="Calibri" w:eastAsia="Times New Roman" w:hAnsi="Calibri" w:cs="Times New Roman"/>
          <w:sz w:val="36"/>
          <w:szCs w:val="28"/>
        </w:rPr>
        <w:t>Nontax Issues Associated with the Section 368 “A” Structure</w:t>
      </w:r>
      <w:r w:rsidR="00A24AF5" w:rsidRPr="00FA6749">
        <w:rPr>
          <w:rFonts w:ascii="Calibri" w:eastAsia="Times New Roman" w:hAnsi="Calibri" w:cs="Times New Roman"/>
          <w:sz w:val="36"/>
          <w:szCs w:val="28"/>
        </w:rPr>
        <w:t>:</w:t>
      </w:r>
    </w:p>
    <w:p w14:paraId="1D7658D2" w14:textId="704F8F03" w:rsidR="006A69B1" w:rsidRPr="00FA6749" w:rsidRDefault="00A24AF5" w:rsidP="00A24AF5">
      <w:pPr>
        <w:numPr>
          <w:ilvl w:val="3"/>
          <w:numId w:val="1"/>
        </w:numPr>
        <w:spacing w:after="200" w:line="276" w:lineRule="auto"/>
        <w:contextualSpacing/>
        <w:rPr>
          <w:rFonts w:ascii="Calibri" w:eastAsia="Times New Roman" w:hAnsi="Calibri" w:cs="Times New Roman"/>
          <w:sz w:val="36"/>
          <w:szCs w:val="28"/>
        </w:rPr>
      </w:pPr>
      <w:r w:rsidRPr="00FA6749">
        <w:rPr>
          <w:rFonts w:ascii="Calibri" w:eastAsia="Times New Roman" w:hAnsi="Calibri" w:cs="Times New Roman"/>
          <w:sz w:val="36"/>
          <w:szCs w:val="28"/>
        </w:rPr>
        <w:lastRenderedPageBreak/>
        <w:t>Because a statutory merger is treated as an asset acquisition, target assets that are difficult or expensive to transfer can present problems.</w:t>
      </w:r>
    </w:p>
    <w:p w14:paraId="372E5DFA" w14:textId="760B2B83" w:rsidR="00A24AF5" w:rsidRPr="00FA6749" w:rsidRDefault="00A24AF5" w:rsidP="00A24AF5">
      <w:pPr>
        <w:numPr>
          <w:ilvl w:val="3"/>
          <w:numId w:val="1"/>
        </w:numPr>
        <w:spacing w:after="200" w:line="276" w:lineRule="auto"/>
        <w:contextualSpacing/>
        <w:rPr>
          <w:rFonts w:ascii="Calibri" w:eastAsia="Times New Roman" w:hAnsi="Calibri" w:cs="Times New Roman"/>
          <w:sz w:val="36"/>
          <w:szCs w:val="28"/>
        </w:rPr>
      </w:pPr>
      <w:r w:rsidRPr="00FA6749">
        <w:rPr>
          <w:rFonts w:ascii="Calibri" w:eastAsia="Times New Roman" w:hAnsi="Calibri" w:cs="Times New Roman"/>
          <w:sz w:val="36"/>
          <w:szCs w:val="28"/>
        </w:rPr>
        <w:t xml:space="preserve">To the extent that target shareholder gain is deferred, it is because the target shareholder’s receive stock of the acquiring corporation. That imposes a risk on the target shareholders unless they sell their newly-acquired stock, but to the </w:t>
      </w:r>
      <w:r w:rsidR="00033BE8" w:rsidRPr="00FA6749">
        <w:rPr>
          <w:rFonts w:ascii="Calibri" w:eastAsia="Times New Roman" w:hAnsi="Calibri" w:cs="Times New Roman"/>
          <w:sz w:val="36"/>
          <w:szCs w:val="28"/>
        </w:rPr>
        <w:t xml:space="preserve">extent </w:t>
      </w:r>
      <w:r w:rsidRPr="00FA6749">
        <w:rPr>
          <w:rFonts w:ascii="Calibri" w:eastAsia="Times New Roman" w:hAnsi="Calibri" w:cs="Times New Roman"/>
          <w:sz w:val="36"/>
          <w:szCs w:val="28"/>
        </w:rPr>
        <w:t>they do that, they trigger recognition of the deferred gain. Of course, this risk is assumed by all shareholders of the acquiring corporation, and offsetting this risk is the possibility that the stock will increase in value over time.</w:t>
      </w:r>
    </w:p>
    <w:p w14:paraId="60500822" w14:textId="77777777" w:rsidR="00777F3D" w:rsidRPr="00FA6749" w:rsidRDefault="006A69B1" w:rsidP="006A69B1">
      <w:pPr>
        <w:numPr>
          <w:ilvl w:val="2"/>
          <w:numId w:val="1"/>
        </w:numPr>
        <w:spacing w:after="200" w:line="276" w:lineRule="auto"/>
        <w:contextualSpacing/>
        <w:rPr>
          <w:rFonts w:ascii="Calibri" w:eastAsia="Times New Roman" w:hAnsi="Calibri" w:cs="Times New Roman"/>
          <w:sz w:val="36"/>
          <w:szCs w:val="28"/>
        </w:rPr>
      </w:pPr>
      <w:r w:rsidRPr="00FA6749">
        <w:rPr>
          <w:rFonts w:ascii="Calibri" w:eastAsia="Times New Roman" w:hAnsi="Calibri" w:cs="Times New Roman"/>
          <w:sz w:val="36"/>
          <w:szCs w:val="28"/>
        </w:rPr>
        <w:t>Triangular Mergers</w:t>
      </w:r>
      <w:r w:rsidR="00536A5C" w:rsidRPr="00FA6749">
        <w:rPr>
          <w:rFonts w:ascii="Calibri" w:eastAsia="Times New Roman" w:hAnsi="Calibri" w:cs="Times New Roman"/>
          <w:sz w:val="36"/>
          <w:szCs w:val="28"/>
        </w:rPr>
        <w:t>: A statutory merger requires the affirmative vote of the shareholders of both the target corporation and the acquiring corporation. If the acquiring corporation is publicly traded, seeking approval of the shareholders generally will be prohibitively expensive.</w:t>
      </w:r>
    </w:p>
    <w:p w14:paraId="091316C9" w14:textId="4B56D03A" w:rsidR="006A69B1" w:rsidRPr="00FA6749" w:rsidRDefault="00536A5C" w:rsidP="00777F3D">
      <w:pPr>
        <w:numPr>
          <w:ilvl w:val="3"/>
          <w:numId w:val="1"/>
        </w:numPr>
        <w:spacing w:after="200" w:line="276" w:lineRule="auto"/>
        <w:contextualSpacing/>
        <w:rPr>
          <w:rFonts w:ascii="Calibri" w:eastAsia="Times New Roman" w:hAnsi="Calibri" w:cs="Times New Roman"/>
          <w:sz w:val="36"/>
          <w:szCs w:val="28"/>
        </w:rPr>
      </w:pPr>
      <w:r w:rsidRPr="00FA6749">
        <w:rPr>
          <w:rFonts w:ascii="Calibri" w:eastAsia="Times New Roman" w:hAnsi="Calibri" w:cs="Times New Roman"/>
          <w:sz w:val="36"/>
          <w:szCs w:val="28"/>
        </w:rPr>
        <w:t>To avoid this cost, the reorganization is struct</w:t>
      </w:r>
      <w:r w:rsidR="00A32A78" w:rsidRPr="00FA6749">
        <w:rPr>
          <w:rFonts w:ascii="Calibri" w:eastAsia="Times New Roman" w:hAnsi="Calibri" w:cs="Times New Roman"/>
          <w:sz w:val="36"/>
          <w:szCs w:val="28"/>
        </w:rPr>
        <w:t>ur</w:t>
      </w:r>
      <w:r w:rsidRPr="00FA6749">
        <w:rPr>
          <w:rFonts w:ascii="Calibri" w:eastAsia="Times New Roman" w:hAnsi="Calibri" w:cs="Times New Roman"/>
          <w:sz w:val="36"/>
          <w:szCs w:val="28"/>
        </w:rPr>
        <w:t xml:space="preserve">ed as a merger of the target </w:t>
      </w:r>
      <w:r w:rsidRPr="00FA6749">
        <w:rPr>
          <w:rFonts w:ascii="Calibri" w:eastAsia="Times New Roman" w:hAnsi="Calibri" w:cs="Times New Roman"/>
          <w:sz w:val="36"/>
          <w:szCs w:val="28"/>
        </w:rPr>
        <w:lastRenderedPageBreak/>
        <w:t xml:space="preserve">corporation into a controlled subsidiary of </w:t>
      </w:r>
      <w:r w:rsidR="00777F3D" w:rsidRPr="00FA6749">
        <w:rPr>
          <w:rFonts w:ascii="Calibri" w:eastAsia="Times New Roman" w:hAnsi="Calibri" w:cs="Times New Roman"/>
          <w:sz w:val="36"/>
          <w:szCs w:val="28"/>
        </w:rPr>
        <w:t>what otherwise would be the</w:t>
      </w:r>
      <w:r w:rsidRPr="00FA6749">
        <w:rPr>
          <w:rFonts w:ascii="Calibri" w:eastAsia="Times New Roman" w:hAnsi="Calibri" w:cs="Times New Roman"/>
          <w:sz w:val="36"/>
          <w:szCs w:val="28"/>
        </w:rPr>
        <w:t xml:space="preserve"> acquiring corporation. This is called a “forward triangular merger,” and the allowable equity interests in a forward triangular merger is stock of the subsidiary’s parent (that is, the corporation that would be the acquiring corporation if the triangular structure were not used).</w:t>
      </w:r>
    </w:p>
    <w:p w14:paraId="4C0064E6" w14:textId="21C9AD7A" w:rsidR="00777F3D" w:rsidRPr="00FA6749" w:rsidRDefault="00777F3D" w:rsidP="00777F3D">
      <w:pPr>
        <w:numPr>
          <w:ilvl w:val="3"/>
          <w:numId w:val="1"/>
        </w:numPr>
        <w:spacing w:after="200" w:line="276" w:lineRule="auto"/>
        <w:contextualSpacing/>
        <w:rPr>
          <w:rFonts w:ascii="Calibri" w:eastAsia="Times New Roman" w:hAnsi="Calibri" w:cs="Times New Roman"/>
          <w:sz w:val="36"/>
          <w:szCs w:val="28"/>
        </w:rPr>
      </w:pPr>
      <w:r w:rsidRPr="00FA6749">
        <w:rPr>
          <w:rFonts w:ascii="Calibri" w:eastAsia="Times New Roman" w:hAnsi="Calibri" w:cs="Times New Roman"/>
          <w:sz w:val="36"/>
          <w:szCs w:val="28"/>
        </w:rPr>
        <w:t xml:space="preserve">Alternatively, the reorganization can be structured as a merger </w:t>
      </w:r>
      <w:r w:rsidR="004267CB" w:rsidRPr="00FA6749">
        <w:rPr>
          <w:rFonts w:ascii="Calibri" w:eastAsia="Times New Roman" w:hAnsi="Calibri" w:cs="Times New Roman"/>
          <w:sz w:val="36"/>
          <w:szCs w:val="28"/>
        </w:rPr>
        <w:t>of</w:t>
      </w:r>
      <w:r w:rsidRPr="00FA6749">
        <w:rPr>
          <w:rFonts w:ascii="Calibri" w:eastAsia="Times New Roman" w:hAnsi="Calibri" w:cs="Times New Roman"/>
          <w:sz w:val="36"/>
          <w:szCs w:val="28"/>
        </w:rPr>
        <w:t xml:space="preserve"> a controlled subsidiary</w:t>
      </w:r>
      <w:r w:rsidR="004267CB" w:rsidRPr="00FA6749">
        <w:rPr>
          <w:rFonts w:ascii="Calibri" w:eastAsia="Times New Roman" w:hAnsi="Calibri" w:cs="Times New Roman"/>
          <w:sz w:val="36"/>
          <w:szCs w:val="28"/>
        </w:rPr>
        <w:t xml:space="preserve"> into the target</w:t>
      </w:r>
      <w:r w:rsidRPr="00FA6749">
        <w:rPr>
          <w:rFonts w:ascii="Calibri" w:eastAsia="Times New Roman" w:hAnsi="Calibri" w:cs="Times New Roman"/>
          <w:sz w:val="36"/>
          <w:szCs w:val="28"/>
        </w:rPr>
        <w:t xml:space="preserve">, reversing the direction of the merger. This is called a reverse triangular merger, and it can be important if the target corporation has </w:t>
      </w:r>
      <w:r w:rsidR="003C0BCC" w:rsidRPr="00FA6749">
        <w:rPr>
          <w:rFonts w:ascii="Calibri" w:eastAsia="Times New Roman" w:hAnsi="Calibri" w:cs="Times New Roman"/>
          <w:sz w:val="36"/>
          <w:szCs w:val="28"/>
        </w:rPr>
        <w:t xml:space="preserve">assets that </w:t>
      </w:r>
      <w:r w:rsidR="00CB0467" w:rsidRPr="00FA6749">
        <w:rPr>
          <w:rFonts w:ascii="Calibri" w:eastAsia="Times New Roman" w:hAnsi="Calibri" w:cs="Times New Roman"/>
          <w:sz w:val="36"/>
          <w:szCs w:val="28"/>
        </w:rPr>
        <w:t xml:space="preserve">are </w:t>
      </w:r>
      <w:r w:rsidRPr="00FA6749">
        <w:rPr>
          <w:rFonts w:ascii="Calibri" w:eastAsia="Times New Roman" w:hAnsi="Calibri" w:cs="Times New Roman"/>
          <w:sz w:val="36"/>
          <w:szCs w:val="28"/>
        </w:rPr>
        <w:t xml:space="preserve">difficult or expensive to transfer. As part of the reorganization, the target shareholders agree to give up their shares in the target corporation in exchange for stock of the parent of the acquiring corporation (possibly with some boot). </w:t>
      </w:r>
      <w:r w:rsidR="0009090E">
        <w:rPr>
          <w:rFonts w:ascii="Calibri" w:eastAsia="Times New Roman" w:hAnsi="Calibri" w:cs="Times New Roman"/>
          <w:sz w:val="36"/>
          <w:szCs w:val="28"/>
        </w:rPr>
        <w:t xml:space="preserve">The acquiring corporation ends up in control of the target corporation, getting stock of the target in exchange for its cancelled shares of the merger subsidiary. </w:t>
      </w:r>
      <w:r w:rsidRPr="00FA6749">
        <w:rPr>
          <w:rFonts w:ascii="Calibri" w:eastAsia="Times New Roman" w:hAnsi="Calibri" w:cs="Times New Roman"/>
          <w:sz w:val="36"/>
          <w:szCs w:val="28"/>
        </w:rPr>
        <w:t xml:space="preserve">The Internal </w:t>
      </w:r>
      <w:r w:rsidRPr="00FA6749">
        <w:rPr>
          <w:rFonts w:ascii="Calibri" w:eastAsia="Times New Roman" w:hAnsi="Calibri" w:cs="Times New Roman"/>
          <w:sz w:val="36"/>
          <w:szCs w:val="28"/>
        </w:rPr>
        <w:lastRenderedPageBreak/>
        <w:t>Revenue Code imposes additional restrictions on the consideration that can be furnished to the target shareholders in a reverse triangular merger.</w:t>
      </w:r>
      <w:r w:rsidR="00217499">
        <w:rPr>
          <w:rFonts w:ascii="Calibri" w:eastAsia="Times New Roman" w:hAnsi="Calibri" w:cs="Times New Roman"/>
          <w:sz w:val="36"/>
          <w:szCs w:val="28"/>
        </w:rPr>
        <w:t xml:space="preserve"> Note that a reverse triangular merger is a stock acquisition because the target remains in existence as a controlled subsidiary of the acquiring corporation.</w:t>
      </w:r>
    </w:p>
    <w:p w14:paraId="2D8DC817" w14:textId="078F51B0" w:rsidR="00995800" w:rsidRPr="00FA6749" w:rsidRDefault="006A69B1" w:rsidP="00995800">
      <w:pPr>
        <w:numPr>
          <w:ilvl w:val="1"/>
          <w:numId w:val="1"/>
        </w:numPr>
        <w:spacing w:after="200" w:line="276" w:lineRule="auto"/>
        <w:contextualSpacing/>
        <w:rPr>
          <w:rFonts w:ascii="Calibri" w:eastAsia="Times New Roman" w:hAnsi="Calibri" w:cs="Times New Roman"/>
          <w:sz w:val="36"/>
          <w:szCs w:val="28"/>
        </w:rPr>
      </w:pPr>
      <w:r w:rsidRPr="00FA6749">
        <w:rPr>
          <w:rFonts w:ascii="Calibri" w:eastAsia="Times New Roman" w:hAnsi="Calibri" w:cs="Times New Roman"/>
          <w:sz w:val="36"/>
          <w:szCs w:val="28"/>
        </w:rPr>
        <w:t>Section 368 “B” Reorganization</w:t>
      </w:r>
      <w:r w:rsidR="00995800" w:rsidRPr="00FA6749">
        <w:rPr>
          <w:rFonts w:ascii="Calibri" w:eastAsia="Times New Roman" w:hAnsi="Calibri" w:cs="Times New Roman"/>
          <w:sz w:val="36"/>
          <w:szCs w:val="28"/>
        </w:rPr>
        <w:t>:</w:t>
      </w:r>
      <w:r w:rsidRPr="00FA6749">
        <w:rPr>
          <w:rFonts w:ascii="Calibri" w:eastAsia="Times New Roman" w:hAnsi="Calibri" w:cs="Times New Roman"/>
          <w:sz w:val="36"/>
          <w:szCs w:val="28"/>
        </w:rPr>
        <w:t xml:space="preserve"> Stock-For-Stock Acquisition</w:t>
      </w:r>
      <w:r w:rsidR="009837C1" w:rsidRPr="00FA6749">
        <w:rPr>
          <w:rFonts w:ascii="Calibri" w:eastAsia="Times New Roman" w:hAnsi="Calibri" w:cs="Times New Roman"/>
          <w:sz w:val="36"/>
          <w:szCs w:val="28"/>
        </w:rPr>
        <w:t>: A “B” reorganization is an exchange by the target shareholders of their target stock for voting stock (common or preferred) of stock of the acquiring corporation. Alternatively, the reorganization be structured by having the shareholders transfer their target stock to the acquiring corporation in exchange for stock of the acquiring corporation’s parent corporation: that is, it can be structed as a triangular reorganization. Note that the target corporation does not participate in the reorganization other than by seeing its ownership change.</w:t>
      </w:r>
    </w:p>
    <w:p w14:paraId="043C3274" w14:textId="17EBA79B" w:rsidR="006A69B1" w:rsidRPr="00FA6749" w:rsidRDefault="006A69B1" w:rsidP="006A69B1">
      <w:pPr>
        <w:numPr>
          <w:ilvl w:val="2"/>
          <w:numId w:val="1"/>
        </w:numPr>
        <w:spacing w:after="200" w:line="276" w:lineRule="auto"/>
        <w:contextualSpacing/>
        <w:rPr>
          <w:rFonts w:ascii="Calibri" w:eastAsia="Times New Roman" w:hAnsi="Calibri" w:cs="Times New Roman"/>
          <w:sz w:val="36"/>
          <w:szCs w:val="28"/>
        </w:rPr>
      </w:pPr>
      <w:r w:rsidRPr="00FA6749">
        <w:rPr>
          <w:rFonts w:ascii="Calibri" w:eastAsia="Times New Roman" w:hAnsi="Calibri" w:cs="Times New Roman"/>
          <w:sz w:val="36"/>
          <w:szCs w:val="28"/>
        </w:rPr>
        <w:t>Requirements to Qualify for Tax-Free Treatment under Section 368(a)(1)(B)</w:t>
      </w:r>
      <w:r w:rsidR="009837C1" w:rsidRPr="00FA6749">
        <w:rPr>
          <w:rFonts w:ascii="Calibri" w:eastAsia="Times New Roman" w:hAnsi="Calibri" w:cs="Times New Roman"/>
          <w:sz w:val="36"/>
          <w:szCs w:val="28"/>
        </w:rPr>
        <w:t xml:space="preserve">: In a “B” reorganization, the acquiring corporation must </w:t>
      </w:r>
      <w:r w:rsidR="008664BA" w:rsidRPr="00FA6749">
        <w:rPr>
          <w:rFonts w:ascii="Calibri" w:eastAsia="Times New Roman" w:hAnsi="Calibri" w:cs="Times New Roman"/>
          <w:sz w:val="36"/>
          <w:szCs w:val="28"/>
        </w:rPr>
        <w:t>end up owning</w:t>
      </w:r>
      <w:r w:rsidR="009837C1" w:rsidRPr="00FA6749">
        <w:rPr>
          <w:rFonts w:ascii="Calibri" w:eastAsia="Times New Roman" w:hAnsi="Calibri" w:cs="Times New Roman"/>
          <w:sz w:val="36"/>
          <w:szCs w:val="28"/>
        </w:rPr>
        <w:t xml:space="preserve"> at least 80% of the outstanding </w:t>
      </w:r>
      <w:r w:rsidR="009837C1" w:rsidRPr="00FA6749">
        <w:rPr>
          <w:rFonts w:ascii="Calibri" w:eastAsia="Times New Roman" w:hAnsi="Calibri" w:cs="Times New Roman"/>
          <w:sz w:val="36"/>
          <w:szCs w:val="28"/>
        </w:rPr>
        <w:lastRenderedPageBreak/>
        <w:t>target shares, and the only consideration that can be used is it</w:t>
      </w:r>
      <w:r w:rsidR="00F147C1" w:rsidRPr="00FA6749">
        <w:rPr>
          <w:rFonts w:ascii="Calibri" w:eastAsia="Times New Roman" w:hAnsi="Calibri" w:cs="Times New Roman"/>
          <w:sz w:val="36"/>
          <w:szCs w:val="28"/>
        </w:rPr>
        <w:t>s</w:t>
      </w:r>
      <w:r w:rsidR="009837C1" w:rsidRPr="00FA6749">
        <w:rPr>
          <w:rFonts w:ascii="Calibri" w:eastAsia="Times New Roman" w:hAnsi="Calibri" w:cs="Times New Roman"/>
          <w:sz w:val="36"/>
          <w:szCs w:val="28"/>
        </w:rPr>
        <w:t xml:space="preserve"> own voting stock or voting stock of its parent. Note that the acquisition cannot be structured using both stock of the acquiring corporation </w:t>
      </w:r>
      <w:r w:rsidR="009837C1" w:rsidRPr="00FA6749">
        <w:rPr>
          <w:rFonts w:ascii="Calibri" w:eastAsia="Times New Roman" w:hAnsi="Calibri" w:cs="Times New Roman"/>
          <w:i/>
          <w:iCs/>
          <w:sz w:val="36"/>
          <w:szCs w:val="28"/>
        </w:rPr>
        <w:t>and</w:t>
      </w:r>
      <w:r w:rsidR="009837C1" w:rsidRPr="00FA6749">
        <w:rPr>
          <w:rFonts w:ascii="Calibri" w:eastAsia="Times New Roman" w:hAnsi="Calibri" w:cs="Times New Roman"/>
          <w:sz w:val="36"/>
          <w:szCs w:val="28"/>
        </w:rPr>
        <w:t xml:space="preserve"> stock of the parent.</w:t>
      </w:r>
    </w:p>
    <w:p w14:paraId="776DC70B" w14:textId="436400B0" w:rsidR="006A69B1" w:rsidRPr="00FA6749" w:rsidRDefault="006A69B1" w:rsidP="006A69B1">
      <w:pPr>
        <w:numPr>
          <w:ilvl w:val="2"/>
          <w:numId w:val="1"/>
        </w:numPr>
        <w:spacing w:after="200" w:line="276" w:lineRule="auto"/>
        <w:contextualSpacing/>
        <w:rPr>
          <w:rFonts w:ascii="Calibri" w:eastAsia="Times New Roman" w:hAnsi="Calibri" w:cs="Times New Roman"/>
          <w:sz w:val="36"/>
          <w:szCs w:val="28"/>
        </w:rPr>
      </w:pPr>
      <w:r w:rsidRPr="00FA6749">
        <w:rPr>
          <w:rFonts w:ascii="Calibri" w:eastAsia="Times New Roman" w:hAnsi="Calibri" w:cs="Times New Roman"/>
          <w:sz w:val="36"/>
          <w:szCs w:val="28"/>
        </w:rPr>
        <w:t>Tax Consequences of a Section 368 “B”</w:t>
      </w:r>
      <w:r w:rsidR="008143A4" w:rsidRPr="00FA6749">
        <w:rPr>
          <w:rFonts w:ascii="Calibri" w:eastAsia="Times New Roman" w:hAnsi="Calibri" w:cs="Times New Roman"/>
          <w:sz w:val="36"/>
          <w:szCs w:val="28"/>
        </w:rPr>
        <w:t>: There is no gain or loss recognized to the acquiring corporation, the target corporation, or the target shareholders. The target’s asset basis continues unchanged, and the acquiring corporation’s basis in the target stock it acquires equals the basis of that stock in the hands of the target shareholders immediately prior to the reorganization.</w:t>
      </w:r>
    </w:p>
    <w:p w14:paraId="01F6E346" w14:textId="6D183BDD" w:rsidR="006A69B1" w:rsidRPr="00FA6749" w:rsidRDefault="006A69B1" w:rsidP="006A69B1">
      <w:pPr>
        <w:numPr>
          <w:ilvl w:val="2"/>
          <w:numId w:val="1"/>
        </w:numPr>
        <w:spacing w:after="200" w:line="276" w:lineRule="auto"/>
        <w:contextualSpacing/>
        <w:rPr>
          <w:rFonts w:ascii="Calibri" w:eastAsia="Times New Roman" w:hAnsi="Calibri" w:cs="Times New Roman"/>
          <w:sz w:val="36"/>
          <w:szCs w:val="28"/>
        </w:rPr>
      </w:pPr>
      <w:r w:rsidRPr="00FA6749">
        <w:rPr>
          <w:rFonts w:ascii="Calibri" w:eastAsia="Times New Roman" w:hAnsi="Calibri" w:cs="Times New Roman"/>
          <w:sz w:val="36"/>
          <w:szCs w:val="28"/>
        </w:rPr>
        <w:t>Nontax Issues Associated with the Section 368 “B” Structure</w:t>
      </w:r>
      <w:r w:rsidR="008143A4" w:rsidRPr="00FA6749">
        <w:rPr>
          <w:rFonts w:ascii="Calibri" w:eastAsia="Times New Roman" w:hAnsi="Calibri" w:cs="Times New Roman"/>
          <w:sz w:val="36"/>
          <w:szCs w:val="28"/>
        </w:rPr>
        <w:t>: Because the target’s assets remain with the target corporation, difficult to transfer assets present no complication. As in an “A” reorganization, the target shareholders will lose their deferral to the extent they sell the acquiring corporation stock received in the exchange.</w:t>
      </w:r>
    </w:p>
    <w:p w14:paraId="75AF327E" w14:textId="60F88EC3" w:rsidR="006A69B1" w:rsidRPr="00FA6749" w:rsidRDefault="006A69B1" w:rsidP="006A69B1">
      <w:pPr>
        <w:numPr>
          <w:ilvl w:val="1"/>
          <w:numId w:val="1"/>
        </w:numPr>
        <w:spacing w:after="200" w:line="276" w:lineRule="auto"/>
        <w:contextualSpacing/>
        <w:rPr>
          <w:rFonts w:ascii="Calibri" w:eastAsia="Times New Roman" w:hAnsi="Calibri" w:cs="Times New Roman"/>
          <w:sz w:val="36"/>
          <w:szCs w:val="28"/>
        </w:rPr>
      </w:pPr>
      <w:r w:rsidRPr="00FA6749">
        <w:rPr>
          <w:rFonts w:ascii="Calibri" w:eastAsia="Times New Roman" w:hAnsi="Calibri" w:cs="Times New Roman"/>
          <w:sz w:val="36"/>
          <w:szCs w:val="28"/>
        </w:rPr>
        <w:t>Section 368 “C” Reorganization: Stock for Assets Acquisition</w:t>
      </w:r>
      <w:r w:rsidR="00FE0D3E" w:rsidRPr="00FA6749">
        <w:rPr>
          <w:rFonts w:ascii="Calibri" w:eastAsia="Times New Roman" w:hAnsi="Calibri" w:cs="Times New Roman"/>
          <w:sz w:val="36"/>
          <w:szCs w:val="28"/>
        </w:rPr>
        <w:t>: A “C” reorganization is often called a “de facto merger” because it is a</w:t>
      </w:r>
      <w:r w:rsidR="00102772" w:rsidRPr="00FA6749">
        <w:rPr>
          <w:rFonts w:ascii="Calibri" w:eastAsia="Times New Roman" w:hAnsi="Calibri" w:cs="Times New Roman"/>
          <w:sz w:val="36"/>
          <w:szCs w:val="28"/>
        </w:rPr>
        <w:t>n</w:t>
      </w:r>
      <w:r w:rsidR="00FE0D3E" w:rsidRPr="00FA6749">
        <w:rPr>
          <w:rFonts w:ascii="Calibri" w:eastAsia="Times New Roman" w:hAnsi="Calibri" w:cs="Times New Roman"/>
          <w:sz w:val="36"/>
          <w:szCs w:val="28"/>
        </w:rPr>
        <w:t xml:space="preserve"> asset transfer in </w:t>
      </w:r>
      <w:r w:rsidR="00FE0D3E" w:rsidRPr="00FA6749">
        <w:rPr>
          <w:rFonts w:ascii="Calibri" w:eastAsia="Times New Roman" w:hAnsi="Calibri" w:cs="Times New Roman"/>
          <w:sz w:val="36"/>
          <w:szCs w:val="28"/>
        </w:rPr>
        <w:lastRenderedPageBreak/>
        <w:t>exchange for stock of the acquiring corporation in which the acquiring corporation acquires at least substantially all of the target’s assets and the target liquidates as part of the reorganization. Note that there is no requirement that the reorganization comply with any state or federal merger statute. And there is a triangular version in which the controlled subsidiary acquires the target’s asset but the target shareholders receive stock of the parent corporation. In either case, the stock must be voting stock.</w:t>
      </w:r>
    </w:p>
    <w:p w14:paraId="7735B241" w14:textId="20735075" w:rsidR="006A69B1" w:rsidRPr="00FA6749" w:rsidRDefault="006A69B1" w:rsidP="006A69B1">
      <w:pPr>
        <w:numPr>
          <w:ilvl w:val="2"/>
          <w:numId w:val="1"/>
        </w:numPr>
        <w:spacing w:after="200" w:line="276" w:lineRule="auto"/>
        <w:contextualSpacing/>
        <w:rPr>
          <w:rFonts w:ascii="Calibri" w:eastAsia="Times New Roman" w:hAnsi="Calibri" w:cs="Times New Roman"/>
          <w:sz w:val="36"/>
          <w:szCs w:val="28"/>
        </w:rPr>
      </w:pPr>
      <w:r w:rsidRPr="00FA6749">
        <w:rPr>
          <w:rFonts w:ascii="Calibri" w:eastAsia="Times New Roman" w:hAnsi="Calibri" w:cs="Times New Roman"/>
          <w:sz w:val="36"/>
          <w:szCs w:val="28"/>
        </w:rPr>
        <w:t>Requirements to Qualify for Tax-Free Treatment Under Section 368(a)(1)(C)</w:t>
      </w:r>
      <w:r w:rsidR="003B2372" w:rsidRPr="00FA6749">
        <w:rPr>
          <w:rFonts w:ascii="Calibri" w:eastAsia="Times New Roman" w:hAnsi="Calibri" w:cs="Times New Roman"/>
          <w:sz w:val="36"/>
          <w:szCs w:val="28"/>
        </w:rPr>
        <w:t xml:space="preserve">: Because most companies borrow against their assets, the consideration furnished in a “C” reorganization invariably includes assumption by the acquiring corporation (or by the parent of the acquiring corporation in a triangular “C” reorganization). If the only consideration furnished by the acquiring corporation is voting stock of the acquiring corporation, then the amount of the target’s liabilities is irrelevant. </w:t>
      </w:r>
      <w:r w:rsidR="007D2AE5" w:rsidRPr="00FA6749">
        <w:rPr>
          <w:rFonts w:ascii="Calibri" w:eastAsia="Times New Roman" w:hAnsi="Calibri" w:cs="Times New Roman"/>
          <w:sz w:val="36"/>
          <w:szCs w:val="28"/>
        </w:rPr>
        <w:t xml:space="preserve">But if the acquiring corporation uses any consideration in addition to its voting stock and assumption of the target’s liabilities, then the voting stock must equal at least 80% of the total consideration including the </w:t>
      </w:r>
      <w:r w:rsidR="007D2AE5" w:rsidRPr="00FA6749">
        <w:rPr>
          <w:rFonts w:ascii="Calibri" w:eastAsia="Times New Roman" w:hAnsi="Calibri" w:cs="Times New Roman"/>
          <w:sz w:val="36"/>
          <w:szCs w:val="28"/>
        </w:rPr>
        <w:lastRenderedPageBreak/>
        <w:t>assumed liabilities. Because m</w:t>
      </w:r>
      <w:r w:rsidR="00B474B4" w:rsidRPr="00FA6749">
        <w:rPr>
          <w:rFonts w:ascii="Calibri" w:eastAsia="Times New Roman" w:hAnsi="Calibri" w:cs="Times New Roman"/>
          <w:sz w:val="36"/>
          <w:szCs w:val="28"/>
        </w:rPr>
        <w:t>o</w:t>
      </w:r>
      <w:r w:rsidR="007D2AE5" w:rsidRPr="00FA6749">
        <w:rPr>
          <w:rFonts w:ascii="Calibri" w:eastAsia="Times New Roman" w:hAnsi="Calibri" w:cs="Times New Roman"/>
          <w:sz w:val="36"/>
          <w:szCs w:val="28"/>
        </w:rPr>
        <w:t xml:space="preserve">st companies have liabilities in excess of 20% of their value, in practical terms this means the acquiring corporation cannot use any consideration other than its own voting stock (or the voting stock </w:t>
      </w:r>
      <w:r w:rsidR="00F13FCE" w:rsidRPr="00FA6749">
        <w:rPr>
          <w:rFonts w:ascii="Calibri" w:eastAsia="Times New Roman" w:hAnsi="Calibri" w:cs="Times New Roman"/>
          <w:sz w:val="36"/>
          <w:szCs w:val="28"/>
        </w:rPr>
        <w:t>o</w:t>
      </w:r>
      <w:r w:rsidR="007D2AE5" w:rsidRPr="00FA6749">
        <w:rPr>
          <w:rFonts w:ascii="Calibri" w:eastAsia="Times New Roman" w:hAnsi="Calibri" w:cs="Times New Roman"/>
          <w:sz w:val="36"/>
          <w:szCs w:val="28"/>
        </w:rPr>
        <w:t>f its parent in a triangular “C”).</w:t>
      </w:r>
    </w:p>
    <w:p w14:paraId="4746BD1B" w14:textId="4137419F" w:rsidR="006A69B1" w:rsidRPr="00FA6749" w:rsidRDefault="006A69B1" w:rsidP="006A69B1">
      <w:pPr>
        <w:numPr>
          <w:ilvl w:val="2"/>
          <w:numId w:val="1"/>
        </w:numPr>
        <w:spacing w:after="200" w:line="276" w:lineRule="auto"/>
        <w:contextualSpacing/>
        <w:rPr>
          <w:rFonts w:ascii="Calibri" w:eastAsia="Times New Roman" w:hAnsi="Calibri" w:cs="Times New Roman"/>
          <w:sz w:val="36"/>
          <w:szCs w:val="28"/>
        </w:rPr>
      </w:pPr>
      <w:r w:rsidRPr="00FA6749">
        <w:rPr>
          <w:rFonts w:ascii="Calibri" w:eastAsia="Times New Roman" w:hAnsi="Calibri" w:cs="Times New Roman"/>
          <w:sz w:val="36"/>
          <w:szCs w:val="28"/>
        </w:rPr>
        <w:t>Tax Consequences of a Section 368 “C”</w:t>
      </w:r>
    </w:p>
    <w:p w14:paraId="7FDD3F6F" w14:textId="375E8EA7" w:rsidR="00023266" w:rsidRPr="00FA6749" w:rsidRDefault="00023266" w:rsidP="00023266">
      <w:pPr>
        <w:numPr>
          <w:ilvl w:val="3"/>
          <w:numId w:val="1"/>
        </w:numPr>
        <w:spacing w:after="200" w:line="276" w:lineRule="auto"/>
        <w:contextualSpacing/>
        <w:rPr>
          <w:rFonts w:ascii="Calibri" w:eastAsia="Times New Roman" w:hAnsi="Calibri" w:cs="Times New Roman"/>
          <w:sz w:val="36"/>
          <w:szCs w:val="28"/>
        </w:rPr>
      </w:pPr>
      <w:r w:rsidRPr="00FA6749">
        <w:rPr>
          <w:rFonts w:ascii="Calibri" w:eastAsia="Times New Roman" w:hAnsi="Calibri" w:cs="Times New Roman"/>
          <w:sz w:val="36"/>
          <w:szCs w:val="28"/>
        </w:rPr>
        <w:t>If the acquiring corporation furnishes nothing but its own voting stock for all of the target’s assets (along with assumption of the target’s liabilities), and then the target immediately liquidates, there is no recognized gain or loss to the target corporation or to its shareholders. The acquiring corporation carries over the target’s basis in the target assets.</w:t>
      </w:r>
    </w:p>
    <w:p w14:paraId="41937F6C" w14:textId="65C2B3FA" w:rsidR="00A14F73" w:rsidRPr="00FA6749" w:rsidRDefault="00A14F73" w:rsidP="00023266">
      <w:pPr>
        <w:numPr>
          <w:ilvl w:val="3"/>
          <w:numId w:val="1"/>
        </w:numPr>
        <w:spacing w:after="200" w:line="276" w:lineRule="auto"/>
        <w:contextualSpacing/>
        <w:rPr>
          <w:rFonts w:ascii="Calibri" w:eastAsia="Times New Roman" w:hAnsi="Calibri" w:cs="Times New Roman"/>
          <w:sz w:val="36"/>
          <w:szCs w:val="28"/>
        </w:rPr>
      </w:pPr>
      <w:r w:rsidRPr="00FA6749">
        <w:rPr>
          <w:rFonts w:ascii="Calibri" w:eastAsia="Times New Roman" w:hAnsi="Calibri" w:cs="Times New Roman"/>
          <w:sz w:val="36"/>
          <w:szCs w:val="28"/>
        </w:rPr>
        <w:t>If the acquiring corporation uses cash in addition to its own voting stock (along with assumption of the target’s liabilities), then gain will be recognized to the target shareholder’s equal to the lesser of (1) the gain realized on their exchange and (2) the amount of cash received. Note that there still is no tax imposed on the target corporation itself.</w:t>
      </w:r>
    </w:p>
    <w:p w14:paraId="3320F2A1" w14:textId="73B06DD7" w:rsidR="00A44321" w:rsidRPr="00FA6749" w:rsidRDefault="00332859" w:rsidP="00332859">
      <w:pPr>
        <w:numPr>
          <w:ilvl w:val="1"/>
          <w:numId w:val="1"/>
        </w:numPr>
        <w:spacing w:after="200" w:line="276" w:lineRule="auto"/>
        <w:contextualSpacing/>
        <w:rPr>
          <w:rFonts w:ascii="Calibri" w:eastAsia="Times New Roman" w:hAnsi="Calibri" w:cs="Times New Roman"/>
          <w:sz w:val="36"/>
          <w:szCs w:val="28"/>
        </w:rPr>
      </w:pPr>
      <w:r w:rsidRPr="00FA6749">
        <w:rPr>
          <w:rFonts w:ascii="Calibri" w:eastAsia="Times New Roman" w:hAnsi="Calibri" w:cs="Times New Roman"/>
          <w:sz w:val="36"/>
          <w:szCs w:val="28"/>
        </w:rPr>
        <w:lastRenderedPageBreak/>
        <w:t>Tax-Free Reorganizations Under Section 351</w:t>
      </w:r>
      <w:r w:rsidR="009C4942" w:rsidRPr="00FA6749">
        <w:rPr>
          <w:rFonts w:ascii="Calibri" w:eastAsia="Times New Roman" w:hAnsi="Calibri" w:cs="Times New Roman"/>
          <w:sz w:val="36"/>
          <w:szCs w:val="28"/>
        </w:rPr>
        <w:t>: Section 351 can be used to combine two corporations by using a holding company. The shareholders of both the acquiring corporation and the target corporation contribute their shares to the new company (usually called NewCo) in exchange for stock of NewCo. At that point, NewCo holds the stock of both the target and the acquiring corporations so that the two corporations have been combined into a brother/sister pair with a common parent. It is not unusual for the new corporate group (NewCo, acquiring corporation and target corporation) to form a consolidated group. Note that in this form of the reorganization, the acquiring corporation does not in fact acquire anything.</w:t>
      </w:r>
    </w:p>
    <w:p w14:paraId="07192595" w14:textId="62FBCEDD" w:rsidR="00332859" w:rsidRPr="00FA6749" w:rsidRDefault="00332859" w:rsidP="00332859">
      <w:pPr>
        <w:numPr>
          <w:ilvl w:val="2"/>
          <w:numId w:val="1"/>
        </w:numPr>
        <w:spacing w:after="200" w:line="276" w:lineRule="auto"/>
        <w:contextualSpacing/>
        <w:rPr>
          <w:rFonts w:ascii="Calibri" w:eastAsia="Times New Roman" w:hAnsi="Calibri" w:cs="Times New Roman"/>
          <w:sz w:val="36"/>
          <w:szCs w:val="28"/>
        </w:rPr>
      </w:pPr>
      <w:r w:rsidRPr="00FA6749">
        <w:rPr>
          <w:rFonts w:ascii="Calibri" w:eastAsia="Times New Roman" w:hAnsi="Calibri" w:cs="Times New Roman"/>
          <w:sz w:val="36"/>
          <w:szCs w:val="28"/>
        </w:rPr>
        <w:t>Requirements for Tax-Free Treatment under Section 351</w:t>
      </w:r>
      <w:r w:rsidR="00B86609" w:rsidRPr="00FA6749">
        <w:rPr>
          <w:rFonts w:ascii="Calibri" w:eastAsia="Times New Roman" w:hAnsi="Calibri" w:cs="Times New Roman"/>
          <w:sz w:val="36"/>
          <w:szCs w:val="28"/>
        </w:rPr>
        <w:t>: The former shareholders of target and of acquiring must end up owning at least 80% of the stock of NewCo, and that rarely is a problem (they usually end up owning 100%).</w:t>
      </w:r>
      <w:r w:rsidR="00D3337F" w:rsidRPr="00FA6749">
        <w:rPr>
          <w:rFonts w:ascii="Calibri" w:eastAsia="Times New Roman" w:hAnsi="Calibri" w:cs="Times New Roman"/>
          <w:sz w:val="36"/>
          <w:szCs w:val="28"/>
        </w:rPr>
        <w:t xml:space="preserve"> </w:t>
      </w:r>
    </w:p>
    <w:p w14:paraId="43E6B026" w14:textId="246EBBA7" w:rsidR="00332859" w:rsidRPr="00FA6749" w:rsidRDefault="001D0ED0" w:rsidP="00332859">
      <w:pPr>
        <w:numPr>
          <w:ilvl w:val="2"/>
          <w:numId w:val="1"/>
        </w:numPr>
        <w:spacing w:after="200" w:line="276" w:lineRule="auto"/>
        <w:contextualSpacing/>
        <w:rPr>
          <w:rFonts w:ascii="Calibri" w:eastAsia="Times New Roman" w:hAnsi="Calibri" w:cs="Times New Roman"/>
          <w:sz w:val="36"/>
          <w:szCs w:val="28"/>
        </w:rPr>
      </w:pPr>
      <w:r w:rsidRPr="00FA6749">
        <w:rPr>
          <w:rFonts w:ascii="Calibri" w:eastAsia="Times New Roman" w:hAnsi="Calibri" w:cs="Times New Roman"/>
          <w:sz w:val="36"/>
          <w:szCs w:val="28"/>
        </w:rPr>
        <w:t>Tax Consequences of a Section 351 Merger</w:t>
      </w:r>
      <w:r w:rsidR="00D3337F" w:rsidRPr="00FA6749">
        <w:rPr>
          <w:rFonts w:ascii="Calibri" w:eastAsia="Times New Roman" w:hAnsi="Calibri" w:cs="Times New Roman"/>
          <w:sz w:val="36"/>
          <w:szCs w:val="28"/>
        </w:rPr>
        <w:t xml:space="preserve">: For those shareholders who receive only NewCo stock in the exchange, no gain or loss is recognized. But for those shareholders who receive boot in addition to stock of NewCo, gain </w:t>
      </w:r>
      <w:r w:rsidR="00D3337F" w:rsidRPr="00FA6749">
        <w:rPr>
          <w:rFonts w:ascii="Calibri" w:eastAsia="Times New Roman" w:hAnsi="Calibri" w:cs="Times New Roman"/>
          <w:sz w:val="36"/>
          <w:szCs w:val="28"/>
        </w:rPr>
        <w:lastRenderedPageBreak/>
        <w:t>will be recognized equal to the lesser of (1) gain realized on the exchange and (2) the value of the boot received. Note that some shareholders are permitted to received only boot. Because neither the target’s assets nor the acquiring corporation’s change hands, their bases do not change.</w:t>
      </w:r>
    </w:p>
    <w:p w14:paraId="27EAA002" w14:textId="0CBD5470" w:rsidR="001D0ED0" w:rsidRPr="00FA6749" w:rsidRDefault="001D0ED0" w:rsidP="008E2FB0">
      <w:pPr>
        <w:numPr>
          <w:ilvl w:val="1"/>
          <w:numId w:val="1"/>
        </w:numPr>
        <w:spacing w:after="200" w:line="276" w:lineRule="auto"/>
        <w:contextualSpacing/>
        <w:rPr>
          <w:rFonts w:ascii="Calibri" w:eastAsia="Times New Roman" w:hAnsi="Calibri" w:cs="Times New Roman"/>
          <w:sz w:val="36"/>
          <w:szCs w:val="28"/>
        </w:rPr>
      </w:pPr>
      <w:r w:rsidRPr="00FA6749">
        <w:rPr>
          <w:rFonts w:ascii="Calibri" w:eastAsia="Times New Roman" w:hAnsi="Calibri" w:cs="Times New Roman"/>
          <w:sz w:val="36"/>
          <w:szCs w:val="28"/>
        </w:rPr>
        <w:t>Comparison of Tax-Free Acquisition Structures</w:t>
      </w:r>
    </w:p>
    <w:p w14:paraId="565D1358" w14:textId="30102010" w:rsidR="0058521E" w:rsidRPr="00FA6749" w:rsidRDefault="0058521E" w:rsidP="0058521E">
      <w:pPr>
        <w:numPr>
          <w:ilvl w:val="2"/>
          <w:numId w:val="1"/>
        </w:numPr>
        <w:spacing w:after="200" w:line="276" w:lineRule="auto"/>
        <w:contextualSpacing/>
        <w:rPr>
          <w:rFonts w:ascii="Calibri" w:eastAsia="Times New Roman" w:hAnsi="Calibri" w:cs="Times New Roman"/>
          <w:sz w:val="36"/>
          <w:szCs w:val="28"/>
        </w:rPr>
      </w:pPr>
      <w:r w:rsidRPr="00FA6749">
        <w:rPr>
          <w:rFonts w:ascii="Calibri" w:eastAsia="Times New Roman" w:hAnsi="Calibri" w:cs="Times New Roman"/>
          <w:sz w:val="36"/>
          <w:szCs w:val="28"/>
        </w:rPr>
        <w:t>The “A” reorganization offers the most flexible possible consideration.</w:t>
      </w:r>
    </w:p>
    <w:p w14:paraId="75AAD6E2" w14:textId="18702FCF" w:rsidR="0058521E" w:rsidRPr="00FA6749" w:rsidRDefault="0058521E" w:rsidP="0058521E">
      <w:pPr>
        <w:numPr>
          <w:ilvl w:val="2"/>
          <w:numId w:val="1"/>
        </w:numPr>
        <w:spacing w:after="200" w:line="276" w:lineRule="auto"/>
        <w:contextualSpacing/>
        <w:rPr>
          <w:rFonts w:ascii="Calibri" w:eastAsia="Times New Roman" w:hAnsi="Calibri" w:cs="Times New Roman"/>
          <w:sz w:val="36"/>
          <w:szCs w:val="28"/>
        </w:rPr>
      </w:pPr>
      <w:r w:rsidRPr="00FA6749">
        <w:rPr>
          <w:rFonts w:ascii="Calibri" w:eastAsia="Times New Roman" w:hAnsi="Calibri" w:cs="Times New Roman"/>
          <w:sz w:val="36"/>
          <w:szCs w:val="28"/>
        </w:rPr>
        <w:t>The “B” reorganization offers the least flexible possible consideration (only voting stock).</w:t>
      </w:r>
    </w:p>
    <w:p w14:paraId="22E6CF6C" w14:textId="780FCF49" w:rsidR="0058521E" w:rsidRPr="00FA6749" w:rsidRDefault="0058521E" w:rsidP="0058521E">
      <w:pPr>
        <w:numPr>
          <w:ilvl w:val="2"/>
          <w:numId w:val="1"/>
        </w:numPr>
        <w:spacing w:after="200" w:line="276" w:lineRule="auto"/>
        <w:contextualSpacing/>
        <w:rPr>
          <w:rFonts w:ascii="Calibri" w:eastAsia="Times New Roman" w:hAnsi="Calibri" w:cs="Times New Roman"/>
          <w:sz w:val="36"/>
          <w:szCs w:val="28"/>
        </w:rPr>
      </w:pPr>
      <w:r w:rsidRPr="00FA6749">
        <w:rPr>
          <w:rFonts w:ascii="Calibri" w:eastAsia="Times New Roman" w:hAnsi="Calibri" w:cs="Times New Roman"/>
          <w:sz w:val="36"/>
          <w:szCs w:val="28"/>
        </w:rPr>
        <w:t xml:space="preserve">The “C” reorganization offers the possibility of some flexibility in the consideration used by the acquiring corporation, but as a practical matter it is </w:t>
      </w:r>
      <w:r w:rsidR="00A77AFD" w:rsidRPr="00FA6749">
        <w:rPr>
          <w:rFonts w:ascii="Calibri" w:eastAsia="Times New Roman" w:hAnsi="Calibri" w:cs="Times New Roman"/>
          <w:sz w:val="36"/>
          <w:szCs w:val="28"/>
        </w:rPr>
        <w:t xml:space="preserve">in effect </w:t>
      </w:r>
      <w:r w:rsidRPr="00FA6749">
        <w:rPr>
          <w:rFonts w:ascii="Calibri" w:eastAsia="Times New Roman" w:hAnsi="Calibri" w:cs="Times New Roman"/>
          <w:sz w:val="36"/>
          <w:szCs w:val="28"/>
        </w:rPr>
        <w:t>an “</w:t>
      </w:r>
      <w:r w:rsidR="00A77AFD" w:rsidRPr="00FA6749">
        <w:rPr>
          <w:rFonts w:ascii="Calibri" w:eastAsia="Times New Roman" w:hAnsi="Calibri" w:cs="Times New Roman"/>
          <w:sz w:val="36"/>
          <w:szCs w:val="28"/>
        </w:rPr>
        <w:t>A</w:t>
      </w:r>
      <w:r w:rsidRPr="00FA6749">
        <w:rPr>
          <w:rFonts w:ascii="Calibri" w:eastAsia="Times New Roman" w:hAnsi="Calibri" w:cs="Times New Roman"/>
          <w:sz w:val="36"/>
          <w:szCs w:val="28"/>
        </w:rPr>
        <w:t>” reorganization that does not need to comply with a merger statute and in which the consideration is limited to voting stock.</w:t>
      </w:r>
    </w:p>
    <w:p w14:paraId="71C4A9EB" w14:textId="52194761" w:rsidR="0058521E" w:rsidRPr="00FA6749" w:rsidRDefault="0058521E" w:rsidP="0058521E">
      <w:pPr>
        <w:numPr>
          <w:ilvl w:val="2"/>
          <w:numId w:val="1"/>
        </w:numPr>
        <w:spacing w:after="200" w:line="276" w:lineRule="auto"/>
        <w:contextualSpacing/>
        <w:rPr>
          <w:rFonts w:ascii="Calibri" w:eastAsia="Times New Roman" w:hAnsi="Calibri" w:cs="Times New Roman"/>
          <w:sz w:val="36"/>
          <w:szCs w:val="28"/>
        </w:rPr>
      </w:pPr>
      <w:r w:rsidRPr="00FA6749">
        <w:rPr>
          <w:rFonts w:ascii="Calibri" w:eastAsia="Times New Roman" w:hAnsi="Calibri" w:cs="Times New Roman"/>
          <w:sz w:val="36"/>
          <w:szCs w:val="28"/>
        </w:rPr>
        <w:t>The Section 351 form of a reorganization</w:t>
      </w:r>
      <w:r w:rsidR="0044547E" w:rsidRPr="00FA6749">
        <w:rPr>
          <w:rFonts w:ascii="Calibri" w:eastAsia="Times New Roman" w:hAnsi="Calibri" w:cs="Times New Roman"/>
          <w:sz w:val="36"/>
          <w:szCs w:val="28"/>
        </w:rPr>
        <w:t xml:space="preserve"> is similar to the “A” reorganization in that both voting and nonvoting stock can be used, and it is similar to the “B” reorganization in that it is accomplished using a stock-for-stock exchange.</w:t>
      </w:r>
    </w:p>
    <w:p w14:paraId="506DCAA6" w14:textId="65C2C671" w:rsidR="0044547E" w:rsidRPr="00FA6749" w:rsidRDefault="0044547E" w:rsidP="0058521E">
      <w:pPr>
        <w:numPr>
          <w:ilvl w:val="2"/>
          <w:numId w:val="1"/>
        </w:numPr>
        <w:spacing w:after="200" w:line="276" w:lineRule="auto"/>
        <w:contextualSpacing/>
        <w:rPr>
          <w:rFonts w:ascii="Calibri" w:eastAsia="Times New Roman" w:hAnsi="Calibri" w:cs="Times New Roman"/>
          <w:sz w:val="36"/>
          <w:szCs w:val="28"/>
        </w:rPr>
      </w:pPr>
      <w:r w:rsidRPr="00FA6749">
        <w:rPr>
          <w:rFonts w:ascii="Calibri" w:eastAsia="Times New Roman" w:hAnsi="Calibri" w:cs="Times New Roman"/>
          <w:sz w:val="36"/>
          <w:szCs w:val="28"/>
        </w:rPr>
        <w:lastRenderedPageBreak/>
        <w:t>Looking at Table 14.2 (p. 14-5), it is important to note that if no boot is used, the various forms of the reorganization are all tax-free. Table 14.1 (p. 14-3) compares the various reorganization forms.</w:t>
      </w:r>
    </w:p>
    <w:p w14:paraId="38C33C6A" w14:textId="257D27E7" w:rsidR="000D403D" w:rsidRPr="00FA6749" w:rsidRDefault="001D0ED0" w:rsidP="003D7145">
      <w:pPr>
        <w:numPr>
          <w:ilvl w:val="1"/>
          <w:numId w:val="1"/>
        </w:numPr>
        <w:spacing w:after="200" w:line="276" w:lineRule="auto"/>
        <w:contextualSpacing/>
        <w:rPr>
          <w:rFonts w:ascii="Calibri" w:eastAsia="Times New Roman" w:hAnsi="Calibri" w:cs="Times New Roman"/>
          <w:sz w:val="36"/>
          <w:szCs w:val="28"/>
        </w:rPr>
      </w:pPr>
      <w:r w:rsidRPr="00FA6749">
        <w:rPr>
          <w:rFonts w:ascii="Calibri" w:eastAsia="Times New Roman" w:hAnsi="Calibri" w:cs="Times New Roman"/>
          <w:sz w:val="36"/>
          <w:szCs w:val="28"/>
        </w:rPr>
        <w:t>Limitations on Target Firm Tax Attributes</w:t>
      </w:r>
      <w:r w:rsidR="00A45D02" w:rsidRPr="00FA6749">
        <w:rPr>
          <w:rFonts w:ascii="Calibri" w:eastAsia="Times New Roman" w:hAnsi="Calibri" w:cs="Times New Roman"/>
          <w:sz w:val="36"/>
          <w:szCs w:val="28"/>
        </w:rPr>
        <w:t>: Section 382 limits the use of a firm’s NOLs if there is a 50% o</w:t>
      </w:r>
      <w:r w:rsidR="00AD7305" w:rsidRPr="00FA6749">
        <w:rPr>
          <w:rFonts w:ascii="Calibri" w:eastAsia="Times New Roman" w:hAnsi="Calibri" w:cs="Times New Roman"/>
          <w:sz w:val="36"/>
          <w:szCs w:val="28"/>
        </w:rPr>
        <w:t>r</w:t>
      </w:r>
      <w:r w:rsidR="00A45D02" w:rsidRPr="00FA6749">
        <w:rPr>
          <w:rFonts w:ascii="Calibri" w:eastAsia="Times New Roman" w:hAnsi="Calibri" w:cs="Times New Roman"/>
          <w:sz w:val="36"/>
          <w:szCs w:val="28"/>
        </w:rPr>
        <w:t xml:space="preserve"> greater ownership change. When §382 applies, the post-ownership change of NOLs is limited annually to the federal tax-exempt interest rate (published by the US government) times the net value of the firm as of the date of the ownership change. Note in particular that if the firm is insolvent at the time of the ownership change, then this rule limits future use of the NOLs to $0 per year.</w:t>
      </w:r>
      <w:r w:rsidR="00E77D8A" w:rsidRPr="00FA6749">
        <w:rPr>
          <w:rFonts w:ascii="Calibri" w:eastAsia="Times New Roman" w:hAnsi="Calibri" w:cs="Times New Roman"/>
          <w:sz w:val="36"/>
          <w:szCs w:val="28"/>
        </w:rPr>
        <w:t xml:space="preserve"> The §382 limit also applies to losses recognized after the ownership change to the extent they represent unrealized losses that accrued prior to the ownership change (so-called “built-in” losses).</w:t>
      </w:r>
      <w:r w:rsidR="00A323ED" w:rsidRPr="00FA6749">
        <w:rPr>
          <w:rFonts w:ascii="Calibri" w:eastAsia="Times New Roman" w:hAnsi="Calibri" w:cs="Times New Roman"/>
          <w:sz w:val="36"/>
          <w:szCs w:val="28"/>
        </w:rPr>
        <w:t xml:space="preserve"> </w:t>
      </w:r>
      <w:r w:rsidR="000D403D" w:rsidRPr="00FA6749">
        <w:rPr>
          <w:rFonts w:ascii="Calibri" w:eastAsia="Times New Roman" w:hAnsi="Calibri" w:cs="Times New Roman"/>
          <w:sz w:val="36"/>
          <w:szCs w:val="28"/>
        </w:rPr>
        <w:t>In a taxable asset sale, there is no ownership change and so §382 does not limit the target corporation’s ability to use its own NOLs against the sale gain or at a later date.</w:t>
      </w:r>
      <w:r w:rsidR="00A323ED" w:rsidRPr="00FA6749">
        <w:rPr>
          <w:rFonts w:ascii="Calibri" w:eastAsia="Times New Roman" w:hAnsi="Calibri" w:cs="Times New Roman"/>
          <w:sz w:val="36"/>
          <w:szCs w:val="28"/>
        </w:rPr>
        <w:t xml:space="preserve"> </w:t>
      </w:r>
      <w:r w:rsidR="000D403D" w:rsidRPr="00FA6749">
        <w:rPr>
          <w:rFonts w:ascii="Calibri" w:eastAsia="Times New Roman" w:hAnsi="Calibri" w:cs="Times New Roman"/>
          <w:sz w:val="36"/>
          <w:szCs w:val="28"/>
        </w:rPr>
        <w:t>In a taxable stock sale without a §338 election, there is an ownership change and so §382 applies.</w:t>
      </w:r>
      <w:r w:rsidR="00A323ED" w:rsidRPr="00FA6749">
        <w:rPr>
          <w:rFonts w:ascii="Calibri" w:eastAsia="Times New Roman" w:hAnsi="Calibri" w:cs="Times New Roman"/>
          <w:sz w:val="36"/>
          <w:szCs w:val="28"/>
        </w:rPr>
        <w:t xml:space="preserve"> </w:t>
      </w:r>
      <w:r w:rsidR="000D403D" w:rsidRPr="00FA6749">
        <w:rPr>
          <w:rFonts w:ascii="Calibri" w:eastAsia="Times New Roman" w:hAnsi="Calibri" w:cs="Times New Roman"/>
          <w:sz w:val="36"/>
          <w:szCs w:val="28"/>
        </w:rPr>
        <w:t xml:space="preserve">In a taxable stock sale with a §338 election, the target is treated as if it sold </w:t>
      </w:r>
      <w:r w:rsidR="000D403D" w:rsidRPr="00FA6749">
        <w:rPr>
          <w:rFonts w:ascii="Calibri" w:eastAsia="Times New Roman" w:hAnsi="Calibri" w:cs="Times New Roman"/>
          <w:sz w:val="36"/>
          <w:szCs w:val="28"/>
        </w:rPr>
        <w:lastRenderedPageBreak/>
        <w:t xml:space="preserve">its assets so that any target NOLs can be used against the sale gain. But because the stock acquired in the transaction is treated as </w:t>
      </w:r>
      <w:r w:rsidR="00170B15" w:rsidRPr="00FA6749">
        <w:rPr>
          <w:rFonts w:ascii="Calibri" w:eastAsia="Times New Roman" w:hAnsi="Calibri" w:cs="Times New Roman"/>
          <w:sz w:val="36"/>
          <w:szCs w:val="28"/>
        </w:rPr>
        <w:t xml:space="preserve">stock of </w:t>
      </w:r>
      <w:r w:rsidR="000D403D" w:rsidRPr="00FA6749">
        <w:rPr>
          <w:rFonts w:ascii="Calibri" w:eastAsia="Times New Roman" w:hAnsi="Calibri" w:cs="Times New Roman"/>
          <w:sz w:val="36"/>
          <w:szCs w:val="28"/>
        </w:rPr>
        <w:t>a new corporation</w:t>
      </w:r>
      <w:r w:rsidR="00170B15" w:rsidRPr="00FA6749">
        <w:rPr>
          <w:rFonts w:ascii="Calibri" w:eastAsia="Times New Roman" w:hAnsi="Calibri" w:cs="Times New Roman"/>
          <w:sz w:val="36"/>
          <w:szCs w:val="28"/>
        </w:rPr>
        <w:t xml:space="preserve"> (“new T”)</w:t>
      </w:r>
      <w:r w:rsidR="000D403D" w:rsidRPr="00FA6749">
        <w:rPr>
          <w:rFonts w:ascii="Calibri" w:eastAsia="Times New Roman" w:hAnsi="Calibri" w:cs="Times New Roman"/>
          <w:sz w:val="36"/>
          <w:szCs w:val="28"/>
        </w:rPr>
        <w:t>, an</w:t>
      </w:r>
      <w:r w:rsidR="00170B15" w:rsidRPr="00FA6749">
        <w:rPr>
          <w:rFonts w:ascii="Calibri" w:eastAsia="Times New Roman" w:hAnsi="Calibri" w:cs="Times New Roman"/>
          <w:sz w:val="36"/>
          <w:szCs w:val="28"/>
        </w:rPr>
        <w:t>y</w:t>
      </w:r>
      <w:r w:rsidR="000D403D" w:rsidRPr="00FA6749">
        <w:rPr>
          <w:rFonts w:ascii="Calibri" w:eastAsia="Times New Roman" w:hAnsi="Calibri" w:cs="Times New Roman"/>
          <w:sz w:val="36"/>
          <w:szCs w:val="28"/>
        </w:rPr>
        <w:t xml:space="preserve"> NOLs unused by the target </w:t>
      </w:r>
      <w:r w:rsidR="00170B15" w:rsidRPr="00FA6749">
        <w:rPr>
          <w:rFonts w:ascii="Calibri" w:eastAsia="Times New Roman" w:hAnsi="Calibri" w:cs="Times New Roman"/>
          <w:sz w:val="36"/>
          <w:szCs w:val="28"/>
        </w:rPr>
        <w:t xml:space="preserve">(“old T”) </w:t>
      </w:r>
      <w:r w:rsidR="000D403D" w:rsidRPr="00FA6749">
        <w:rPr>
          <w:rFonts w:ascii="Calibri" w:eastAsia="Times New Roman" w:hAnsi="Calibri" w:cs="Times New Roman"/>
          <w:sz w:val="36"/>
          <w:szCs w:val="28"/>
        </w:rPr>
        <w:t>on its final return are lost.</w:t>
      </w:r>
      <w:r w:rsidR="00A323ED" w:rsidRPr="00FA6749">
        <w:rPr>
          <w:rFonts w:ascii="Calibri" w:eastAsia="Times New Roman" w:hAnsi="Calibri" w:cs="Times New Roman"/>
          <w:sz w:val="36"/>
          <w:szCs w:val="28"/>
        </w:rPr>
        <w:t xml:space="preserve"> </w:t>
      </w:r>
      <w:r w:rsidR="000D403D" w:rsidRPr="00FA6749">
        <w:rPr>
          <w:rFonts w:ascii="Calibri" w:eastAsia="Times New Roman" w:hAnsi="Calibri" w:cs="Times New Roman"/>
          <w:sz w:val="36"/>
          <w:szCs w:val="28"/>
        </w:rPr>
        <w:t>Do not forget that S Corporations cannot have NOLs, so the discussion above is relevant only to target corporations that are C corporations.</w:t>
      </w:r>
    </w:p>
    <w:p w14:paraId="34C37830" w14:textId="264E9DC0" w:rsidR="001D0ED0" w:rsidRPr="00FA6749" w:rsidRDefault="001D0ED0" w:rsidP="001D0ED0">
      <w:pPr>
        <w:numPr>
          <w:ilvl w:val="2"/>
          <w:numId w:val="1"/>
        </w:numPr>
        <w:spacing w:after="200" w:line="276" w:lineRule="auto"/>
        <w:contextualSpacing/>
        <w:rPr>
          <w:rFonts w:ascii="Calibri" w:eastAsia="Times New Roman" w:hAnsi="Calibri" w:cs="Times New Roman"/>
          <w:sz w:val="36"/>
          <w:szCs w:val="28"/>
        </w:rPr>
      </w:pPr>
      <w:r w:rsidRPr="00FA6749">
        <w:rPr>
          <w:rFonts w:ascii="Calibri" w:eastAsia="Times New Roman" w:hAnsi="Calibri" w:cs="Times New Roman"/>
          <w:sz w:val="36"/>
          <w:szCs w:val="28"/>
        </w:rPr>
        <w:t>How Much Are the Target Firm’s NOLs Worth?</w:t>
      </w:r>
      <w:r w:rsidR="003D7145" w:rsidRPr="00FA6749">
        <w:rPr>
          <w:rFonts w:ascii="Calibri" w:eastAsia="Times New Roman" w:hAnsi="Calibri" w:cs="Times New Roman"/>
          <w:sz w:val="36"/>
          <w:szCs w:val="28"/>
        </w:rPr>
        <w:t xml:space="preserve"> To compute the potential worth of a target’s NOLs to the acquiring firm, we estimate the §382 limitation, we estimate the firm’s future tax rate, and we discount the estimated savings to present value.</w:t>
      </w:r>
    </w:p>
    <w:p w14:paraId="25615075" w14:textId="72EBC932" w:rsidR="001D0ED0" w:rsidRPr="00FA6749" w:rsidRDefault="001D0ED0" w:rsidP="001D0ED0">
      <w:pPr>
        <w:numPr>
          <w:ilvl w:val="2"/>
          <w:numId w:val="1"/>
        </w:numPr>
        <w:spacing w:after="200" w:line="276" w:lineRule="auto"/>
        <w:contextualSpacing/>
        <w:rPr>
          <w:rFonts w:ascii="Calibri" w:eastAsia="Times New Roman" w:hAnsi="Calibri" w:cs="Times New Roman"/>
          <w:sz w:val="36"/>
          <w:szCs w:val="28"/>
        </w:rPr>
      </w:pPr>
      <w:r w:rsidRPr="00FA6749">
        <w:rPr>
          <w:rFonts w:ascii="Calibri" w:eastAsia="Times New Roman" w:hAnsi="Calibri" w:cs="Times New Roman"/>
          <w:sz w:val="36"/>
          <w:szCs w:val="28"/>
        </w:rPr>
        <w:t>General Limitations on a Firm’s NOLs and NOL Poison Pills</w:t>
      </w:r>
      <w:r w:rsidR="003D7145" w:rsidRPr="00FA6749">
        <w:rPr>
          <w:rFonts w:ascii="Calibri" w:eastAsia="Times New Roman" w:hAnsi="Calibri" w:cs="Times New Roman"/>
          <w:sz w:val="36"/>
          <w:szCs w:val="28"/>
        </w:rPr>
        <w:t>: Note that §382 may be triggered by a new stock offering if the new investors obtain control of the corporation. Similarly, if enough shares are traded in the market to reach the 50% trigger, §382 can apply. In these cases, there can be a §382 limitation even without a corporate reorganization. Under the detailed rules of §382, transfers of less than 5% of the corporation’s stock are ignored.</w:t>
      </w:r>
    </w:p>
    <w:p w14:paraId="4945BB78" w14:textId="3ADAC9FF" w:rsidR="001D0ED0" w:rsidRPr="00FA6749" w:rsidRDefault="001D0ED0" w:rsidP="001D0ED0">
      <w:pPr>
        <w:numPr>
          <w:ilvl w:val="1"/>
          <w:numId w:val="1"/>
        </w:numPr>
        <w:spacing w:after="200" w:line="276" w:lineRule="auto"/>
        <w:contextualSpacing/>
        <w:rPr>
          <w:rFonts w:ascii="Calibri" w:eastAsia="Times New Roman" w:hAnsi="Calibri" w:cs="Times New Roman"/>
          <w:sz w:val="36"/>
          <w:szCs w:val="28"/>
        </w:rPr>
      </w:pPr>
      <w:r w:rsidRPr="00FA6749">
        <w:rPr>
          <w:rFonts w:ascii="Calibri" w:eastAsia="Times New Roman" w:hAnsi="Calibri" w:cs="Times New Roman"/>
          <w:sz w:val="36"/>
          <w:szCs w:val="28"/>
        </w:rPr>
        <w:lastRenderedPageBreak/>
        <w:t>Comparison of Taxable and Tax-Free Acquisitions of Freestanding C Corporations</w:t>
      </w:r>
      <w:r w:rsidR="0017618E" w:rsidRPr="00FA6749">
        <w:rPr>
          <w:rFonts w:ascii="Calibri" w:eastAsia="Times New Roman" w:hAnsi="Calibri" w:cs="Times New Roman"/>
          <w:sz w:val="36"/>
          <w:szCs w:val="28"/>
        </w:rPr>
        <w:t>; Table 14.4 (p. 14-18) nicely summarizes the requirements and consequences of various forms of corporate reorganizations of free-standing C corporations, both taxable and tax-free.</w:t>
      </w:r>
    </w:p>
    <w:p w14:paraId="1E05E229" w14:textId="35CF085C" w:rsidR="000F2D3D" w:rsidRPr="00FA6749" w:rsidRDefault="000F2D3D" w:rsidP="001D0ED0">
      <w:pPr>
        <w:numPr>
          <w:ilvl w:val="1"/>
          <w:numId w:val="1"/>
        </w:numPr>
        <w:spacing w:after="200" w:line="276" w:lineRule="auto"/>
        <w:contextualSpacing/>
        <w:rPr>
          <w:rFonts w:ascii="Calibri" w:eastAsia="Times New Roman" w:hAnsi="Calibri" w:cs="Times New Roman"/>
          <w:sz w:val="36"/>
          <w:szCs w:val="28"/>
        </w:rPr>
      </w:pPr>
      <w:r w:rsidRPr="00FA6749">
        <w:rPr>
          <w:rFonts w:ascii="Calibri" w:eastAsia="Times New Roman" w:hAnsi="Calibri" w:cs="Times New Roman"/>
          <w:sz w:val="36"/>
          <w:szCs w:val="28"/>
        </w:rPr>
        <w:t>Questions (p. 14-19):</w:t>
      </w:r>
    </w:p>
    <w:p w14:paraId="43795C92" w14:textId="23061795" w:rsidR="000F2D3D" w:rsidRPr="00FA6749" w:rsidRDefault="000F2D3D" w:rsidP="000F2D3D">
      <w:pPr>
        <w:numPr>
          <w:ilvl w:val="2"/>
          <w:numId w:val="1"/>
        </w:numPr>
        <w:spacing w:after="200" w:line="276" w:lineRule="auto"/>
        <w:contextualSpacing/>
        <w:rPr>
          <w:rFonts w:ascii="Calibri" w:eastAsia="Times New Roman" w:hAnsi="Calibri" w:cs="Times New Roman"/>
          <w:sz w:val="36"/>
          <w:szCs w:val="28"/>
        </w:rPr>
      </w:pPr>
      <w:r w:rsidRPr="00FA6749">
        <w:rPr>
          <w:rFonts w:ascii="Calibri" w:eastAsia="Times New Roman" w:hAnsi="Calibri" w:cs="Times New Roman"/>
          <w:sz w:val="36"/>
          <w:szCs w:val="28"/>
        </w:rPr>
        <w:t>Question 2:</w:t>
      </w:r>
      <w:r w:rsidR="003B0B24" w:rsidRPr="00FA6749">
        <w:rPr>
          <w:rFonts w:ascii="Calibri" w:eastAsia="Times New Roman" w:hAnsi="Calibri" w:cs="Times New Roman"/>
          <w:sz w:val="36"/>
          <w:szCs w:val="28"/>
        </w:rPr>
        <w:t xml:space="preserve"> Leaving the target as a controlled subsidiary insulates the rest of the acquiring corporation’s assets from liabilities of the target. For example, if the target owns real estate, potential CERCLA liability is always a concern. Isolating each business in a separate controlled subsidiary ensures the liabilities of any one business cannot jeopardize the assets of any other business.</w:t>
      </w:r>
    </w:p>
    <w:p w14:paraId="6B7EE6EC" w14:textId="7A063BDD" w:rsidR="000F2D3D" w:rsidRPr="00FA6749" w:rsidRDefault="000F2D3D" w:rsidP="000F2D3D">
      <w:pPr>
        <w:numPr>
          <w:ilvl w:val="2"/>
          <w:numId w:val="1"/>
        </w:numPr>
        <w:spacing w:after="200" w:line="276" w:lineRule="auto"/>
        <w:contextualSpacing/>
        <w:rPr>
          <w:rFonts w:ascii="Calibri" w:eastAsia="Times New Roman" w:hAnsi="Calibri" w:cs="Times New Roman"/>
          <w:sz w:val="36"/>
          <w:szCs w:val="28"/>
        </w:rPr>
      </w:pPr>
      <w:r w:rsidRPr="00FA6749">
        <w:rPr>
          <w:rFonts w:ascii="Calibri" w:eastAsia="Times New Roman" w:hAnsi="Calibri" w:cs="Times New Roman"/>
          <w:sz w:val="36"/>
          <w:szCs w:val="28"/>
        </w:rPr>
        <w:t>Question 4:</w:t>
      </w:r>
      <w:r w:rsidR="00571C3C" w:rsidRPr="00FA6749">
        <w:rPr>
          <w:rFonts w:ascii="Calibri" w:eastAsia="Times New Roman" w:hAnsi="Calibri" w:cs="Times New Roman"/>
          <w:sz w:val="36"/>
          <w:szCs w:val="28"/>
        </w:rPr>
        <w:t xml:space="preserve"> Because a cash merger triggers both a corporate-level tax and a shareholder-level tax, the target shareholders presumably will insist on a higher price than if either (or both) level of taxes were avoided.</w:t>
      </w:r>
    </w:p>
    <w:p w14:paraId="606AECC9" w14:textId="34C64843" w:rsidR="000F2D3D" w:rsidRPr="00FA6749" w:rsidRDefault="000F2D3D" w:rsidP="000F2D3D">
      <w:pPr>
        <w:numPr>
          <w:ilvl w:val="1"/>
          <w:numId w:val="1"/>
        </w:numPr>
        <w:spacing w:after="200" w:line="276" w:lineRule="auto"/>
        <w:contextualSpacing/>
        <w:rPr>
          <w:rFonts w:ascii="Calibri" w:eastAsia="Times New Roman" w:hAnsi="Calibri" w:cs="Times New Roman"/>
          <w:sz w:val="36"/>
          <w:szCs w:val="28"/>
        </w:rPr>
      </w:pPr>
      <w:r w:rsidRPr="00FA6749">
        <w:rPr>
          <w:rFonts w:ascii="Calibri" w:eastAsia="Times New Roman" w:hAnsi="Calibri" w:cs="Times New Roman"/>
          <w:sz w:val="36"/>
          <w:szCs w:val="28"/>
        </w:rPr>
        <w:t>Problems (p. 14-20):</w:t>
      </w:r>
    </w:p>
    <w:p w14:paraId="5078ACA4" w14:textId="246A3AA4" w:rsidR="000F2D3D" w:rsidRPr="00FA6749" w:rsidRDefault="000F2D3D" w:rsidP="000F2D3D">
      <w:pPr>
        <w:numPr>
          <w:ilvl w:val="2"/>
          <w:numId w:val="1"/>
        </w:numPr>
        <w:spacing w:after="200" w:line="276" w:lineRule="auto"/>
        <w:contextualSpacing/>
        <w:rPr>
          <w:rFonts w:ascii="Calibri" w:eastAsia="Times New Roman" w:hAnsi="Calibri" w:cs="Times New Roman"/>
          <w:sz w:val="36"/>
          <w:szCs w:val="28"/>
        </w:rPr>
      </w:pPr>
      <w:r w:rsidRPr="00FA6749">
        <w:rPr>
          <w:rFonts w:ascii="Calibri" w:eastAsia="Times New Roman" w:hAnsi="Calibri" w:cs="Times New Roman"/>
          <w:sz w:val="36"/>
          <w:szCs w:val="28"/>
        </w:rPr>
        <w:t>Problem 8:</w:t>
      </w:r>
      <w:r w:rsidR="00456F84" w:rsidRPr="00FA6749">
        <w:rPr>
          <w:rFonts w:ascii="Calibri" w:eastAsia="Times New Roman" w:hAnsi="Calibri" w:cs="Times New Roman"/>
          <w:sz w:val="36"/>
          <w:szCs w:val="28"/>
        </w:rPr>
        <w:t xml:space="preserve"> Here are the constraints: (1) the assets of Baja cannot be transferred; (2) the 70% shareholder (Calegari) insists on cash; (3) the </w:t>
      </w:r>
      <w:r w:rsidR="00456F84" w:rsidRPr="00FA6749">
        <w:rPr>
          <w:rFonts w:ascii="Calibri" w:eastAsia="Times New Roman" w:hAnsi="Calibri" w:cs="Times New Roman"/>
          <w:sz w:val="36"/>
          <w:szCs w:val="28"/>
        </w:rPr>
        <w:lastRenderedPageBreak/>
        <w:t xml:space="preserve">30% shareholder (Smith) insists that the transaction be tax-free to him; (4) </w:t>
      </w:r>
      <w:r w:rsidR="002F1668" w:rsidRPr="00FA6749">
        <w:rPr>
          <w:rFonts w:ascii="Calibri" w:eastAsia="Times New Roman" w:hAnsi="Calibri" w:cs="Times New Roman"/>
          <w:sz w:val="36"/>
          <w:szCs w:val="28"/>
        </w:rPr>
        <w:t>the acquiring corporation</w:t>
      </w:r>
      <w:r w:rsidR="00F4705F" w:rsidRPr="00FA6749">
        <w:rPr>
          <w:rFonts w:ascii="Calibri" w:eastAsia="Times New Roman" w:hAnsi="Calibri" w:cs="Times New Roman"/>
          <w:sz w:val="36"/>
          <w:szCs w:val="28"/>
        </w:rPr>
        <w:t xml:space="preserve">’s shareholders are </w:t>
      </w:r>
      <w:r w:rsidR="002F1668" w:rsidRPr="00FA6749">
        <w:rPr>
          <w:rFonts w:ascii="Calibri" w:eastAsia="Times New Roman" w:hAnsi="Calibri" w:cs="Times New Roman"/>
          <w:sz w:val="36"/>
          <w:szCs w:val="28"/>
        </w:rPr>
        <w:t xml:space="preserve">unwilling to </w:t>
      </w:r>
      <w:r w:rsidR="00F4705F" w:rsidRPr="00FA6749">
        <w:rPr>
          <w:rFonts w:ascii="Calibri" w:eastAsia="Times New Roman" w:hAnsi="Calibri" w:cs="Times New Roman"/>
          <w:sz w:val="36"/>
          <w:szCs w:val="28"/>
        </w:rPr>
        <w:t>see significant dilution of their vote</w:t>
      </w:r>
      <w:r w:rsidR="002F1668" w:rsidRPr="00FA6749">
        <w:rPr>
          <w:rFonts w:ascii="Calibri" w:eastAsia="Times New Roman" w:hAnsi="Calibri" w:cs="Times New Roman"/>
          <w:sz w:val="36"/>
          <w:szCs w:val="28"/>
        </w:rPr>
        <w:t>.</w:t>
      </w:r>
    </w:p>
    <w:p w14:paraId="4146959A" w14:textId="2D8C1EDB" w:rsidR="002F1668" w:rsidRPr="00FA6749" w:rsidRDefault="002F1668" w:rsidP="002F1668">
      <w:pPr>
        <w:numPr>
          <w:ilvl w:val="3"/>
          <w:numId w:val="1"/>
        </w:numPr>
        <w:spacing w:after="200" w:line="276" w:lineRule="auto"/>
        <w:contextualSpacing/>
        <w:rPr>
          <w:rFonts w:ascii="Calibri" w:eastAsia="Times New Roman" w:hAnsi="Calibri" w:cs="Times New Roman"/>
          <w:sz w:val="36"/>
          <w:szCs w:val="28"/>
        </w:rPr>
      </w:pPr>
      <w:r w:rsidRPr="00FA6749">
        <w:rPr>
          <w:rFonts w:ascii="Calibri" w:eastAsia="Times New Roman" w:hAnsi="Calibri" w:cs="Times New Roman"/>
          <w:sz w:val="36"/>
          <w:szCs w:val="28"/>
        </w:rPr>
        <w:t>Could Calstar acquire Baja in an “A” statutory merger? An “A” reorganization includes the requirement that at least 40% of the consideration include equity in the acquiring company (or in its parent). That is inconsistent with constraint (2).</w:t>
      </w:r>
    </w:p>
    <w:p w14:paraId="73889571" w14:textId="25FA772A" w:rsidR="002F1668" w:rsidRPr="00FA6749" w:rsidRDefault="002F1668" w:rsidP="002F1668">
      <w:pPr>
        <w:numPr>
          <w:ilvl w:val="3"/>
          <w:numId w:val="1"/>
        </w:numPr>
        <w:spacing w:after="200" w:line="276" w:lineRule="auto"/>
        <w:contextualSpacing/>
        <w:rPr>
          <w:rFonts w:ascii="Calibri" w:eastAsia="Times New Roman" w:hAnsi="Calibri" w:cs="Times New Roman"/>
          <w:sz w:val="36"/>
          <w:szCs w:val="28"/>
        </w:rPr>
      </w:pPr>
      <w:r w:rsidRPr="00FA6749">
        <w:rPr>
          <w:rFonts w:ascii="Calibri" w:eastAsia="Times New Roman" w:hAnsi="Calibri" w:cs="Times New Roman"/>
          <w:sz w:val="36"/>
          <w:szCs w:val="28"/>
        </w:rPr>
        <w:t>Could Calstar acquire the stock of Baja in a “B” reorganization. A “B” reorganization requires that the consideration for the target’s stock consist exclusively of voting stock</w:t>
      </w:r>
      <w:r w:rsidR="003E2850">
        <w:rPr>
          <w:rFonts w:ascii="Calibri" w:eastAsia="Times New Roman" w:hAnsi="Calibri" w:cs="Times New Roman"/>
          <w:sz w:val="36"/>
          <w:szCs w:val="28"/>
        </w:rPr>
        <w:t xml:space="preserve"> o</w:t>
      </w:r>
      <w:r w:rsidRPr="00FA6749">
        <w:rPr>
          <w:rFonts w:ascii="Calibri" w:eastAsia="Times New Roman" w:hAnsi="Calibri" w:cs="Times New Roman"/>
          <w:sz w:val="36"/>
          <w:szCs w:val="28"/>
        </w:rPr>
        <w:t>f the acquiring corporation (or its parent). This is inconsistent with constraints (2) and (4).</w:t>
      </w:r>
    </w:p>
    <w:p w14:paraId="3F6B0362" w14:textId="3CD1AFBF" w:rsidR="002F1668" w:rsidRPr="00FA6749" w:rsidRDefault="002F1668" w:rsidP="002F1668">
      <w:pPr>
        <w:numPr>
          <w:ilvl w:val="3"/>
          <w:numId w:val="1"/>
        </w:numPr>
        <w:spacing w:after="200" w:line="276" w:lineRule="auto"/>
        <w:contextualSpacing/>
        <w:rPr>
          <w:rFonts w:ascii="Calibri" w:eastAsia="Times New Roman" w:hAnsi="Calibri" w:cs="Times New Roman"/>
          <w:sz w:val="36"/>
          <w:szCs w:val="28"/>
        </w:rPr>
      </w:pPr>
      <w:r w:rsidRPr="00FA6749">
        <w:rPr>
          <w:rFonts w:ascii="Calibri" w:eastAsia="Times New Roman" w:hAnsi="Calibri" w:cs="Times New Roman"/>
          <w:sz w:val="36"/>
          <w:szCs w:val="28"/>
        </w:rPr>
        <w:t>Could Calstar acquire the stock of Baja in a “C” reorganization? A “C” reorganization requires that at least 80% of the consideration consist of voting stock of the acquiring corporation (or of its parent). This is inconsistent with constraint (2).</w:t>
      </w:r>
    </w:p>
    <w:p w14:paraId="53501272" w14:textId="606D259D" w:rsidR="002F1668" w:rsidRPr="00FA6749" w:rsidRDefault="002F1668" w:rsidP="002F1668">
      <w:pPr>
        <w:numPr>
          <w:ilvl w:val="3"/>
          <w:numId w:val="1"/>
        </w:numPr>
        <w:spacing w:after="200" w:line="276" w:lineRule="auto"/>
        <w:contextualSpacing/>
        <w:rPr>
          <w:rFonts w:ascii="Calibri" w:eastAsia="Times New Roman" w:hAnsi="Calibri" w:cs="Times New Roman"/>
          <w:sz w:val="36"/>
          <w:szCs w:val="28"/>
        </w:rPr>
      </w:pPr>
      <w:r w:rsidRPr="00FA6749">
        <w:rPr>
          <w:rFonts w:ascii="Calibri" w:eastAsia="Times New Roman" w:hAnsi="Calibri" w:cs="Times New Roman"/>
          <w:sz w:val="36"/>
          <w:szCs w:val="28"/>
        </w:rPr>
        <w:t>Could Calstar obtain effective control of Baja using §351?</w:t>
      </w:r>
      <w:r w:rsidR="00A766B2" w:rsidRPr="00FA6749">
        <w:rPr>
          <w:rFonts w:ascii="Calibri" w:eastAsia="Times New Roman" w:hAnsi="Calibri" w:cs="Times New Roman"/>
          <w:sz w:val="36"/>
          <w:szCs w:val="28"/>
        </w:rPr>
        <w:t xml:space="preserve"> Calstar, Smith and </w:t>
      </w:r>
      <w:r w:rsidR="00A766B2" w:rsidRPr="00FA6749">
        <w:rPr>
          <w:rFonts w:ascii="Calibri" w:eastAsia="Times New Roman" w:hAnsi="Calibri" w:cs="Times New Roman"/>
          <w:sz w:val="36"/>
          <w:szCs w:val="28"/>
        </w:rPr>
        <w:lastRenderedPageBreak/>
        <w:t>Calegari would jointly form NewCo, with Calstar contributing $</w:t>
      </w:r>
      <w:r w:rsidR="00EF793C">
        <w:rPr>
          <w:rFonts w:ascii="Calibri" w:eastAsia="Times New Roman" w:hAnsi="Calibri" w:cs="Times New Roman"/>
          <w:sz w:val="36"/>
          <w:szCs w:val="28"/>
        </w:rPr>
        <w:t>10</w:t>
      </w:r>
      <w:r w:rsidR="00A766B2" w:rsidRPr="00FA6749">
        <w:rPr>
          <w:rFonts w:ascii="Calibri" w:eastAsia="Times New Roman" w:hAnsi="Calibri" w:cs="Times New Roman"/>
          <w:sz w:val="36"/>
          <w:szCs w:val="28"/>
        </w:rPr>
        <w:t>0,000 of cash and Smith and Calegari contributing their stock of Baja. Calstar would receive voting stock of NewCo worth $70,000, Smith would receive $30,000 of nonvoting (common or preferred) of NewCo, and Calegari would receive cash. Alternative</w:t>
      </w:r>
      <w:r w:rsidR="00A23DFE" w:rsidRPr="00FA6749">
        <w:rPr>
          <w:rFonts w:ascii="Calibri" w:eastAsia="Times New Roman" w:hAnsi="Calibri" w:cs="Times New Roman"/>
          <w:sz w:val="36"/>
          <w:szCs w:val="28"/>
        </w:rPr>
        <w:t>ly</w:t>
      </w:r>
      <w:r w:rsidR="00A766B2" w:rsidRPr="00FA6749">
        <w:rPr>
          <w:rFonts w:ascii="Calibri" w:eastAsia="Times New Roman" w:hAnsi="Calibri" w:cs="Times New Roman"/>
          <w:sz w:val="36"/>
          <w:szCs w:val="28"/>
        </w:rPr>
        <w:t>, Calstar and Smith could form NewCo and Calstar could then purchase Calegari’s stock for cash. In either event, NewCo could eventually be merged into Calstar, moving Smith’s equity interest from NewCo to Calstar.</w:t>
      </w:r>
    </w:p>
    <w:p w14:paraId="286C49C9" w14:textId="265CFB3B" w:rsidR="00F4705F" w:rsidRPr="00FA6749" w:rsidRDefault="00F4705F" w:rsidP="002F1668">
      <w:pPr>
        <w:numPr>
          <w:ilvl w:val="3"/>
          <w:numId w:val="1"/>
        </w:numPr>
        <w:spacing w:after="200" w:line="276" w:lineRule="auto"/>
        <w:contextualSpacing/>
        <w:rPr>
          <w:rFonts w:ascii="Calibri" w:eastAsia="Times New Roman" w:hAnsi="Calibri" w:cs="Times New Roman"/>
          <w:sz w:val="36"/>
          <w:szCs w:val="28"/>
        </w:rPr>
      </w:pPr>
      <w:r w:rsidRPr="00FA6749">
        <w:rPr>
          <w:rFonts w:ascii="Calibri" w:eastAsia="Times New Roman" w:hAnsi="Calibri" w:cs="Times New Roman"/>
          <w:sz w:val="36"/>
          <w:szCs w:val="28"/>
        </w:rPr>
        <w:t xml:space="preserve">Could the transaction be structured as a merger of Calstar into Baja, with Calegari cashed out as part of the transaction? This leaves the assets in place (constraint (1)), but </w:t>
      </w:r>
      <w:r w:rsidR="00EF793C">
        <w:rPr>
          <w:rFonts w:ascii="Calibri" w:eastAsia="Times New Roman" w:hAnsi="Calibri" w:cs="Times New Roman"/>
          <w:sz w:val="36"/>
          <w:szCs w:val="28"/>
        </w:rPr>
        <w:t xml:space="preserve">it </w:t>
      </w:r>
      <w:r w:rsidRPr="00FA6749">
        <w:rPr>
          <w:rFonts w:ascii="Calibri" w:eastAsia="Times New Roman" w:hAnsi="Calibri" w:cs="Times New Roman"/>
          <w:sz w:val="36"/>
          <w:szCs w:val="28"/>
        </w:rPr>
        <w:t>violates constraint (4) unless the consideration furnished to Calstar shareholders is high-voting stock.</w:t>
      </w:r>
      <w:r w:rsidR="00E3445F">
        <w:rPr>
          <w:rFonts w:ascii="Calibri" w:eastAsia="Times New Roman" w:hAnsi="Calibri" w:cs="Times New Roman"/>
          <w:sz w:val="36"/>
          <w:szCs w:val="28"/>
        </w:rPr>
        <w:t xml:space="preserve"> Alternatively, the transaction could be structured as a reverse subsidiary merger (which is a stock acquisition), with Calstar receiving voting stock of Baja in exchange for its stock of the merger subsidiary) and </w:t>
      </w:r>
      <w:r w:rsidR="00E3445F">
        <w:rPr>
          <w:rFonts w:ascii="Calibri" w:eastAsia="Times New Roman" w:hAnsi="Calibri" w:cs="Times New Roman"/>
          <w:sz w:val="36"/>
          <w:szCs w:val="28"/>
        </w:rPr>
        <w:lastRenderedPageBreak/>
        <w:t>Smith could receive nonvoting stock of Calstar in exchange for his stock of Baja.</w:t>
      </w:r>
    </w:p>
    <w:p w14:paraId="21F73962" w14:textId="1CC57FA9" w:rsidR="000F2D3D" w:rsidRPr="00FA6749" w:rsidRDefault="000F2D3D" w:rsidP="000F2D3D">
      <w:pPr>
        <w:numPr>
          <w:ilvl w:val="2"/>
          <w:numId w:val="1"/>
        </w:numPr>
        <w:spacing w:after="200" w:line="276" w:lineRule="auto"/>
        <w:contextualSpacing/>
        <w:rPr>
          <w:rFonts w:ascii="Calibri" w:eastAsia="Times New Roman" w:hAnsi="Calibri" w:cs="Times New Roman"/>
          <w:sz w:val="36"/>
          <w:szCs w:val="28"/>
        </w:rPr>
      </w:pPr>
      <w:r w:rsidRPr="00FA6749">
        <w:rPr>
          <w:rFonts w:ascii="Calibri" w:eastAsia="Times New Roman" w:hAnsi="Calibri" w:cs="Times New Roman"/>
          <w:sz w:val="36"/>
          <w:szCs w:val="28"/>
        </w:rPr>
        <w:t>Problem 9:</w:t>
      </w:r>
    </w:p>
    <w:p w14:paraId="5FBF47C4" w14:textId="0AA83319" w:rsidR="004853C6" w:rsidRPr="00FA6749" w:rsidRDefault="004853C6" w:rsidP="004853C6">
      <w:pPr>
        <w:numPr>
          <w:ilvl w:val="3"/>
          <w:numId w:val="1"/>
        </w:numPr>
        <w:spacing w:after="200" w:line="276" w:lineRule="auto"/>
        <w:contextualSpacing/>
        <w:rPr>
          <w:rFonts w:ascii="Calibri" w:eastAsia="Times New Roman" w:hAnsi="Calibri" w:cs="Times New Roman"/>
          <w:sz w:val="36"/>
          <w:szCs w:val="28"/>
        </w:rPr>
      </w:pPr>
      <w:r w:rsidRPr="00FA6749">
        <w:rPr>
          <w:rFonts w:ascii="Calibri" w:eastAsia="Times New Roman" w:hAnsi="Calibri" w:cs="Times New Roman"/>
          <w:sz w:val="36"/>
          <w:szCs w:val="28"/>
        </w:rPr>
        <w:t>Part (a): Carryover of $3 billion.</w:t>
      </w:r>
    </w:p>
    <w:p w14:paraId="69748103" w14:textId="273AB1DC" w:rsidR="00C84E4B" w:rsidRPr="00FA6749" w:rsidRDefault="005824EB" w:rsidP="00C84E4B">
      <w:pPr>
        <w:numPr>
          <w:ilvl w:val="3"/>
          <w:numId w:val="1"/>
        </w:numPr>
        <w:spacing w:after="200" w:line="276" w:lineRule="auto"/>
        <w:contextualSpacing/>
        <w:rPr>
          <w:rFonts w:ascii="Calibri" w:eastAsia="Times New Roman" w:hAnsi="Calibri" w:cs="Times New Roman"/>
          <w:sz w:val="36"/>
          <w:szCs w:val="28"/>
        </w:rPr>
      </w:pPr>
      <w:r w:rsidRPr="00FA6749">
        <w:rPr>
          <w:rFonts w:ascii="Calibri" w:eastAsia="Times New Roman" w:hAnsi="Calibri" w:cs="Times New Roman"/>
          <w:sz w:val="36"/>
          <w:szCs w:val="28"/>
        </w:rPr>
        <w:t>Part (b):</w:t>
      </w:r>
      <w:r w:rsidR="00C84E4B" w:rsidRPr="00FA6749">
        <w:rPr>
          <w:rFonts w:ascii="Calibri" w:eastAsia="Times New Roman" w:hAnsi="Calibri" w:cs="Times New Roman"/>
          <w:sz w:val="36"/>
          <w:szCs w:val="28"/>
        </w:rPr>
        <w:t xml:space="preserve"> Variation 1: </w:t>
      </w:r>
      <w:r w:rsidRPr="00FA6749">
        <w:rPr>
          <w:rFonts w:ascii="Calibri" w:eastAsia="Times New Roman" w:hAnsi="Calibri" w:cs="Times New Roman"/>
          <w:sz w:val="36"/>
          <w:szCs w:val="28"/>
        </w:rPr>
        <w:t>No change in basis, so asset basis equals $5 billion.</w:t>
      </w:r>
    </w:p>
    <w:p w14:paraId="079F738A" w14:textId="7D320130" w:rsidR="00933028" w:rsidRPr="00FA6749" w:rsidRDefault="00C84E4B" w:rsidP="00C84E4B">
      <w:pPr>
        <w:numPr>
          <w:ilvl w:val="3"/>
          <w:numId w:val="1"/>
        </w:numPr>
        <w:spacing w:after="200" w:line="276" w:lineRule="auto"/>
        <w:contextualSpacing/>
        <w:rPr>
          <w:rFonts w:ascii="Calibri" w:eastAsia="Times New Roman" w:hAnsi="Calibri" w:cs="Times New Roman"/>
          <w:sz w:val="36"/>
          <w:szCs w:val="28"/>
        </w:rPr>
      </w:pPr>
      <w:r w:rsidRPr="00FA6749">
        <w:rPr>
          <w:rFonts w:ascii="Calibri" w:eastAsia="Times New Roman" w:hAnsi="Calibri" w:cs="Times New Roman"/>
          <w:sz w:val="36"/>
          <w:szCs w:val="28"/>
        </w:rPr>
        <w:t xml:space="preserve">Part (c): </w:t>
      </w:r>
      <w:r w:rsidR="00933028" w:rsidRPr="00FA6749">
        <w:rPr>
          <w:rFonts w:ascii="Calibri" w:eastAsia="Times New Roman" w:hAnsi="Calibri" w:cs="Times New Roman"/>
          <w:sz w:val="36"/>
          <w:szCs w:val="28"/>
        </w:rPr>
        <w:t xml:space="preserve">Because the taxable shareholders received nothing but </w:t>
      </w:r>
      <w:r w:rsidR="00CC2F6D" w:rsidRPr="00FA6749">
        <w:rPr>
          <w:rFonts w:ascii="Calibri" w:eastAsia="Times New Roman" w:hAnsi="Calibri" w:cs="Times New Roman"/>
          <w:sz w:val="36"/>
          <w:szCs w:val="28"/>
        </w:rPr>
        <w:t>v</w:t>
      </w:r>
      <w:r w:rsidR="00933028" w:rsidRPr="00FA6749">
        <w:rPr>
          <w:rFonts w:ascii="Calibri" w:eastAsia="Times New Roman" w:hAnsi="Calibri" w:cs="Times New Roman"/>
          <w:sz w:val="36"/>
          <w:szCs w:val="28"/>
        </w:rPr>
        <w:t>oting stock of the acquiring corporation, they recognize no gain.</w:t>
      </w:r>
    </w:p>
    <w:p w14:paraId="11C6182C" w14:textId="1A9A57A1" w:rsidR="00C84E4B" w:rsidRPr="00FA6749" w:rsidRDefault="00933028" w:rsidP="00C84E4B">
      <w:pPr>
        <w:numPr>
          <w:ilvl w:val="3"/>
          <w:numId w:val="1"/>
        </w:numPr>
        <w:spacing w:after="200" w:line="276" w:lineRule="auto"/>
        <w:contextualSpacing/>
        <w:rPr>
          <w:rFonts w:ascii="Calibri" w:eastAsia="Times New Roman" w:hAnsi="Calibri" w:cs="Times New Roman"/>
          <w:sz w:val="36"/>
          <w:szCs w:val="28"/>
        </w:rPr>
      </w:pPr>
      <w:r w:rsidRPr="00FA6749">
        <w:rPr>
          <w:rFonts w:ascii="Calibri" w:eastAsia="Times New Roman" w:hAnsi="Calibri" w:cs="Times New Roman"/>
          <w:sz w:val="36"/>
          <w:szCs w:val="28"/>
        </w:rPr>
        <w:t xml:space="preserve">Part (d): </w:t>
      </w:r>
      <w:r w:rsidR="005F6D84" w:rsidRPr="00FA6749">
        <w:rPr>
          <w:rFonts w:ascii="Calibri" w:eastAsia="Times New Roman" w:hAnsi="Calibri" w:cs="Times New Roman"/>
          <w:sz w:val="36"/>
          <w:szCs w:val="28"/>
        </w:rPr>
        <w:t>In the aggregate, the taxable shareholders receive cash of $1.875 billion as well as stock worth $5.625 billion, for a total of $7.5 billion in consideration (three-quarters of the total consideration). Because they have an aggregate basis of $2 billion, the gain re</w:t>
      </w:r>
      <w:r w:rsidR="003B5362">
        <w:rPr>
          <w:rFonts w:ascii="Calibri" w:eastAsia="Times New Roman" w:hAnsi="Calibri" w:cs="Times New Roman"/>
          <w:sz w:val="36"/>
          <w:szCs w:val="28"/>
        </w:rPr>
        <w:t>alized</w:t>
      </w:r>
      <w:r w:rsidR="005F6D84" w:rsidRPr="00FA6749">
        <w:rPr>
          <w:rFonts w:ascii="Calibri" w:eastAsia="Times New Roman" w:hAnsi="Calibri" w:cs="Times New Roman"/>
          <w:sz w:val="36"/>
          <w:szCs w:val="28"/>
        </w:rPr>
        <w:t xml:space="preserve"> equals $5.5 billion. Because the value of the boot they receive is only $1.875 billion, that is the amount of the gain recognized by the taxable shareholders</w:t>
      </w:r>
      <w:r w:rsidR="00E66AD4" w:rsidRPr="00FA6749">
        <w:rPr>
          <w:rFonts w:ascii="Calibri" w:eastAsia="Times New Roman" w:hAnsi="Calibri" w:cs="Times New Roman"/>
          <w:sz w:val="36"/>
          <w:szCs w:val="28"/>
        </w:rPr>
        <w:t>, yielding a tax liability of $375 million</w:t>
      </w:r>
      <w:r w:rsidR="005F6D84" w:rsidRPr="00FA6749">
        <w:rPr>
          <w:rFonts w:ascii="Calibri" w:eastAsia="Times New Roman" w:hAnsi="Calibri" w:cs="Times New Roman"/>
          <w:sz w:val="36"/>
          <w:szCs w:val="28"/>
        </w:rPr>
        <w:t>. The exempt shareholders do not recognize taxable gain because they are exempt.</w:t>
      </w:r>
    </w:p>
    <w:p w14:paraId="5BCC8CCE" w14:textId="26C58556" w:rsidR="000F72C4" w:rsidRPr="00FA6749" w:rsidRDefault="000F72C4" w:rsidP="00C84E4B">
      <w:pPr>
        <w:numPr>
          <w:ilvl w:val="3"/>
          <w:numId w:val="1"/>
        </w:numPr>
        <w:spacing w:after="200" w:line="276" w:lineRule="auto"/>
        <w:contextualSpacing/>
        <w:rPr>
          <w:rFonts w:ascii="Calibri" w:eastAsia="Times New Roman" w:hAnsi="Calibri" w:cs="Times New Roman"/>
          <w:sz w:val="36"/>
          <w:szCs w:val="28"/>
        </w:rPr>
      </w:pPr>
      <w:r w:rsidRPr="00FA6749">
        <w:rPr>
          <w:rFonts w:ascii="Calibri" w:eastAsia="Times New Roman" w:hAnsi="Calibri" w:cs="Times New Roman"/>
          <w:sz w:val="36"/>
          <w:szCs w:val="28"/>
        </w:rPr>
        <w:lastRenderedPageBreak/>
        <w:t>Part (e): The asset basis is not increased by any gain recognized to the target shareholders (the only way to increase corporate-level basis is to trigger a corporate-level gain), so the asset basis remains at $5 billion.</w:t>
      </w:r>
    </w:p>
    <w:p w14:paraId="02990E03" w14:textId="646D70D2" w:rsidR="00D16118" w:rsidRPr="00FA6749" w:rsidRDefault="00D16118" w:rsidP="00C84E4B">
      <w:pPr>
        <w:numPr>
          <w:ilvl w:val="3"/>
          <w:numId w:val="1"/>
        </w:numPr>
        <w:spacing w:after="200" w:line="276" w:lineRule="auto"/>
        <w:contextualSpacing/>
        <w:rPr>
          <w:rFonts w:ascii="Calibri" w:eastAsia="Times New Roman" w:hAnsi="Calibri" w:cs="Times New Roman"/>
          <w:sz w:val="36"/>
          <w:szCs w:val="28"/>
        </w:rPr>
      </w:pPr>
      <w:r w:rsidRPr="00FA6749">
        <w:rPr>
          <w:rFonts w:ascii="Calibri" w:eastAsia="Times New Roman" w:hAnsi="Calibri" w:cs="Times New Roman"/>
          <w:sz w:val="36"/>
          <w:szCs w:val="28"/>
        </w:rPr>
        <w:t>Part (f): None: because asset basis does not change, there is no step-up in the basis of the goodwill (which ha</w:t>
      </w:r>
      <w:r w:rsidR="00E47228" w:rsidRPr="00FA6749">
        <w:rPr>
          <w:rFonts w:ascii="Calibri" w:eastAsia="Times New Roman" w:hAnsi="Calibri" w:cs="Times New Roman"/>
          <w:sz w:val="36"/>
          <w:szCs w:val="28"/>
        </w:rPr>
        <w:t>s</w:t>
      </w:r>
      <w:r w:rsidRPr="00FA6749">
        <w:rPr>
          <w:rFonts w:ascii="Calibri" w:eastAsia="Times New Roman" w:hAnsi="Calibri" w:cs="Times New Roman"/>
          <w:sz w:val="36"/>
          <w:szCs w:val="28"/>
        </w:rPr>
        <w:t xml:space="preserve"> a zero basis prior to the transaction). If the acquiring corporation wants to step-up the basis of corporate assets, it must trigger gain at the </w:t>
      </w:r>
      <w:r w:rsidRPr="00FA6749">
        <w:rPr>
          <w:rFonts w:ascii="Calibri" w:eastAsia="Times New Roman" w:hAnsi="Calibri" w:cs="Times New Roman"/>
          <w:i/>
          <w:iCs/>
          <w:sz w:val="36"/>
          <w:szCs w:val="28"/>
        </w:rPr>
        <w:t>corporate</w:t>
      </w:r>
      <w:r w:rsidRPr="00FA6749">
        <w:rPr>
          <w:rFonts w:ascii="Calibri" w:eastAsia="Times New Roman" w:hAnsi="Calibri" w:cs="Times New Roman"/>
          <w:sz w:val="36"/>
          <w:szCs w:val="28"/>
        </w:rPr>
        <w:t xml:space="preserve"> level.</w:t>
      </w:r>
    </w:p>
    <w:sectPr w:rsidR="00D16118" w:rsidRPr="00FA674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774855" w14:textId="77777777" w:rsidR="00945225" w:rsidRDefault="00945225" w:rsidP="00995800">
      <w:pPr>
        <w:spacing w:after="0" w:line="240" w:lineRule="auto"/>
      </w:pPr>
      <w:r>
        <w:separator/>
      </w:r>
    </w:p>
  </w:endnote>
  <w:endnote w:type="continuationSeparator" w:id="0">
    <w:p w14:paraId="21DB494C" w14:textId="77777777" w:rsidR="00945225" w:rsidRDefault="00945225" w:rsidP="00995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59852030"/>
      <w:docPartObj>
        <w:docPartGallery w:val="Page Numbers (Bottom of Page)"/>
        <w:docPartUnique/>
      </w:docPartObj>
    </w:sdtPr>
    <w:sdtEndPr>
      <w:rPr>
        <w:noProof/>
      </w:rPr>
    </w:sdtEndPr>
    <w:sdtContent>
      <w:p w14:paraId="1AE42D11" w14:textId="4D5C3B55" w:rsidR="00D3030F" w:rsidRDefault="00D3030F" w:rsidP="00D3030F">
        <w:pPr>
          <w:pStyle w:val="Footer"/>
          <w:jc w:val="center"/>
        </w:pPr>
        <w:r>
          <w:t>1</w:t>
        </w:r>
        <w:r w:rsidR="006A69B1">
          <w:t>4</w:t>
        </w:r>
        <w:r>
          <w:t>-</w:t>
        </w:r>
        <w:r>
          <w:fldChar w:fldCharType="begin"/>
        </w:r>
        <w:r>
          <w:instrText xml:space="preserve"> PAGE   \* MERGEFORMAT </w:instrText>
        </w:r>
        <w:r>
          <w:fldChar w:fldCharType="separate"/>
        </w:r>
        <w:r>
          <w:rPr>
            <w:noProof/>
          </w:rPr>
          <w:t>2</w:t>
        </w:r>
        <w:r>
          <w:rPr>
            <w:noProof/>
          </w:rPr>
          <w:fldChar w:fldCharType="end"/>
        </w:r>
      </w:p>
    </w:sdtContent>
  </w:sdt>
  <w:p w14:paraId="257C6B94" w14:textId="77777777" w:rsidR="00D3030F" w:rsidRDefault="00D303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F9321B" w14:textId="77777777" w:rsidR="00945225" w:rsidRDefault="00945225" w:rsidP="00995800">
      <w:pPr>
        <w:spacing w:after="0" w:line="240" w:lineRule="auto"/>
      </w:pPr>
      <w:r>
        <w:separator/>
      </w:r>
    </w:p>
  </w:footnote>
  <w:footnote w:type="continuationSeparator" w:id="0">
    <w:p w14:paraId="4F5598F7" w14:textId="77777777" w:rsidR="00945225" w:rsidRDefault="00945225" w:rsidP="00995800">
      <w:pPr>
        <w:spacing w:after="0" w:line="240" w:lineRule="auto"/>
      </w:pPr>
      <w:r>
        <w:continuationSeparator/>
      </w:r>
    </w:p>
  </w:footnote>
  <w:footnote w:id="1">
    <w:p w14:paraId="0699DEFD" w14:textId="62777EBB" w:rsidR="00254A27" w:rsidRDefault="00254A27">
      <w:pPr>
        <w:pStyle w:val="FootnoteText"/>
      </w:pPr>
      <w:r>
        <w:rPr>
          <w:rStyle w:val="FootnoteReference"/>
        </w:rPr>
        <w:footnoteRef/>
      </w:r>
      <w:r>
        <w:t xml:space="preserve"> </w:t>
      </w:r>
      <w:r>
        <w:rPr>
          <w:rFonts w:ascii="Calibri" w:hAnsi="Calibri" w:cs="Times New Roman"/>
        </w:rPr>
        <w:t>Debtholders of the target shareholders must also exchange their debt instruments for new consideration, but that is not discussed.</w:t>
      </w:r>
    </w:p>
  </w:footnote>
  <w:footnote w:id="2">
    <w:p w14:paraId="2682D7A6" w14:textId="56AF36E6" w:rsidR="00331209" w:rsidRDefault="00331209">
      <w:pPr>
        <w:pStyle w:val="FootnoteText"/>
      </w:pPr>
      <w:r>
        <w:rPr>
          <w:rStyle w:val="FootnoteReference"/>
        </w:rPr>
        <w:footnoteRef/>
      </w:r>
      <w:r>
        <w:t xml:space="preserve"> The target shareholders push their basis from their cancelled stock into the stock of the acquiring corporation received in the exchange.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6B57C42"/>
    <w:multiLevelType w:val="multilevel"/>
    <w:tmpl w:val="0A64F70E"/>
    <w:lvl w:ilvl="0">
      <w:start w:val="14"/>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16cid:durableId="6297470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800"/>
    <w:rsid w:val="00023266"/>
    <w:rsid w:val="00033807"/>
    <w:rsid w:val="00033BE8"/>
    <w:rsid w:val="0003497F"/>
    <w:rsid w:val="000421C7"/>
    <w:rsid w:val="000877D2"/>
    <w:rsid w:val="0009090E"/>
    <w:rsid w:val="000C3B2F"/>
    <w:rsid w:val="000D403D"/>
    <w:rsid w:val="000F2D3D"/>
    <w:rsid w:val="000F72C4"/>
    <w:rsid w:val="00102772"/>
    <w:rsid w:val="0011621D"/>
    <w:rsid w:val="00127870"/>
    <w:rsid w:val="001278A0"/>
    <w:rsid w:val="0015169B"/>
    <w:rsid w:val="00165B23"/>
    <w:rsid w:val="00170B15"/>
    <w:rsid w:val="0017618E"/>
    <w:rsid w:val="001A68DC"/>
    <w:rsid w:val="001D0ED0"/>
    <w:rsid w:val="001E02E1"/>
    <w:rsid w:val="00206BC2"/>
    <w:rsid w:val="00216B31"/>
    <w:rsid w:val="00217499"/>
    <w:rsid w:val="002478E3"/>
    <w:rsid w:val="00254A27"/>
    <w:rsid w:val="002738E3"/>
    <w:rsid w:val="002859D8"/>
    <w:rsid w:val="002C1B26"/>
    <w:rsid w:val="002F1668"/>
    <w:rsid w:val="00331209"/>
    <w:rsid w:val="00332859"/>
    <w:rsid w:val="00333427"/>
    <w:rsid w:val="00344F39"/>
    <w:rsid w:val="00352679"/>
    <w:rsid w:val="003567ED"/>
    <w:rsid w:val="003B0B24"/>
    <w:rsid w:val="003B2372"/>
    <w:rsid w:val="003B5362"/>
    <w:rsid w:val="003C0BCC"/>
    <w:rsid w:val="003D0096"/>
    <w:rsid w:val="003D7145"/>
    <w:rsid w:val="003E2850"/>
    <w:rsid w:val="00406CB2"/>
    <w:rsid w:val="00411CDF"/>
    <w:rsid w:val="004267CB"/>
    <w:rsid w:val="00431750"/>
    <w:rsid w:val="004329BA"/>
    <w:rsid w:val="0044547E"/>
    <w:rsid w:val="00456F84"/>
    <w:rsid w:val="004853C6"/>
    <w:rsid w:val="004B65A2"/>
    <w:rsid w:val="004C5919"/>
    <w:rsid w:val="004D2DD4"/>
    <w:rsid w:val="004F7ED8"/>
    <w:rsid w:val="00510E6E"/>
    <w:rsid w:val="00536A5C"/>
    <w:rsid w:val="00554E0C"/>
    <w:rsid w:val="00564D27"/>
    <w:rsid w:val="00571C3C"/>
    <w:rsid w:val="005824EB"/>
    <w:rsid w:val="00584C41"/>
    <w:rsid w:val="0058521E"/>
    <w:rsid w:val="0059293F"/>
    <w:rsid w:val="005B5DD6"/>
    <w:rsid w:val="005D4AE6"/>
    <w:rsid w:val="005F6D84"/>
    <w:rsid w:val="0060373A"/>
    <w:rsid w:val="00617401"/>
    <w:rsid w:val="00626BED"/>
    <w:rsid w:val="00631F70"/>
    <w:rsid w:val="00645491"/>
    <w:rsid w:val="00646520"/>
    <w:rsid w:val="0066167E"/>
    <w:rsid w:val="006642E3"/>
    <w:rsid w:val="00665758"/>
    <w:rsid w:val="00675DC2"/>
    <w:rsid w:val="006A69B1"/>
    <w:rsid w:val="006B7D64"/>
    <w:rsid w:val="006D554E"/>
    <w:rsid w:val="006D5C63"/>
    <w:rsid w:val="00711505"/>
    <w:rsid w:val="00765B47"/>
    <w:rsid w:val="00777F3D"/>
    <w:rsid w:val="00783A4E"/>
    <w:rsid w:val="007A428D"/>
    <w:rsid w:val="007B4339"/>
    <w:rsid w:val="007C3C71"/>
    <w:rsid w:val="007D2AE5"/>
    <w:rsid w:val="007D79A1"/>
    <w:rsid w:val="007E531A"/>
    <w:rsid w:val="00800840"/>
    <w:rsid w:val="008143A4"/>
    <w:rsid w:val="008347A4"/>
    <w:rsid w:val="008664BA"/>
    <w:rsid w:val="00874B94"/>
    <w:rsid w:val="008A7371"/>
    <w:rsid w:val="008C48FE"/>
    <w:rsid w:val="008E2FB0"/>
    <w:rsid w:val="00933028"/>
    <w:rsid w:val="00945225"/>
    <w:rsid w:val="0094523E"/>
    <w:rsid w:val="0095469A"/>
    <w:rsid w:val="00981EA9"/>
    <w:rsid w:val="009837C1"/>
    <w:rsid w:val="00990881"/>
    <w:rsid w:val="009922D9"/>
    <w:rsid w:val="0099266A"/>
    <w:rsid w:val="00995800"/>
    <w:rsid w:val="009C4942"/>
    <w:rsid w:val="009E7572"/>
    <w:rsid w:val="009F4622"/>
    <w:rsid w:val="00A0118B"/>
    <w:rsid w:val="00A14F73"/>
    <w:rsid w:val="00A229A6"/>
    <w:rsid w:val="00A23DFE"/>
    <w:rsid w:val="00A24AF5"/>
    <w:rsid w:val="00A323ED"/>
    <w:rsid w:val="00A32A78"/>
    <w:rsid w:val="00A44321"/>
    <w:rsid w:val="00A45D02"/>
    <w:rsid w:val="00A766B2"/>
    <w:rsid w:val="00A77AFD"/>
    <w:rsid w:val="00A81DEE"/>
    <w:rsid w:val="00A87CAD"/>
    <w:rsid w:val="00AC3603"/>
    <w:rsid w:val="00AC3B2D"/>
    <w:rsid w:val="00AD7305"/>
    <w:rsid w:val="00B05146"/>
    <w:rsid w:val="00B33DFF"/>
    <w:rsid w:val="00B474B4"/>
    <w:rsid w:val="00B75577"/>
    <w:rsid w:val="00B8377E"/>
    <w:rsid w:val="00B86609"/>
    <w:rsid w:val="00BB07E1"/>
    <w:rsid w:val="00BF1100"/>
    <w:rsid w:val="00BF713B"/>
    <w:rsid w:val="00C25EFC"/>
    <w:rsid w:val="00C4183D"/>
    <w:rsid w:val="00C436E6"/>
    <w:rsid w:val="00C72932"/>
    <w:rsid w:val="00C729F0"/>
    <w:rsid w:val="00C83650"/>
    <w:rsid w:val="00C84E4B"/>
    <w:rsid w:val="00C94CD5"/>
    <w:rsid w:val="00CB0467"/>
    <w:rsid w:val="00CC2F6D"/>
    <w:rsid w:val="00CD6122"/>
    <w:rsid w:val="00CE0794"/>
    <w:rsid w:val="00CE7F52"/>
    <w:rsid w:val="00D16118"/>
    <w:rsid w:val="00D3030F"/>
    <w:rsid w:val="00D3337F"/>
    <w:rsid w:val="00D415AC"/>
    <w:rsid w:val="00D678A7"/>
    <w:rsid w:val="00D7667A"/>
    <w:rsid w:val="00D80B8E"/>
    <w:rsid w:val="00DC56C8"/>
    <w:rsid w:val="00E01C5A"/>
    <w:rsid w:val="00E03B60"/>
    <w:rsid w:val="00E06D00"/>
    <w:rsid w:val="00E3445F"/>
    <w:rsid w:val="00E37925"/>
    <w:rsid w:val="00E37F08"/>
    <w:rsid w:val="00E40661"/>
    <w:rsid w:val="00E42D8F"/>
    <w:rsid w:val="00E47228"/>
    <w:rsid w:val="00E64C69"/>
    <w:rsid w:val="00E66AD4"/>
    <w:rsid w:val="00E75BA8"/>
    <w:rsid w:val="00E7685A"/>
    <w:rsid w:val="00E77D8A"/>
    <w:rsid w:val="00E9205D"/>
    <w:rsid w:val="00E95B94"/>
    <w:rsid w:val="00EC1383"/>
    <w:rsid w:val="00EE5A57"/>
    <w:rsid w:val="00EF793C"/>
    <w:rsid w:val="00F13FCE"/>
    <w:rsid w:val="00F147C1"/>
    <w:rsid w:val="00F4705F"/>
    <w:rsid w:val="00F55E47"/>
    <w:rsid w:val="00F94327"/>
    <w:rsid w:val="00F96D5E"/>
    <w:rsid w:val="00FA6749"/>
    <w:rsid w:val="00FC3EA8"/>
    <w:rsid w:val="00FD3018"/>
    <w:rsid w:val="00FE0D3E"/>
    <w:rsid w:val="00FF4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3E631"/>
  <w15:chartTrackingRefBased/>
  <w15:docId w15:val="{4DE3EFDE-A355-4D46-8D1D-85B93C421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95800"/>
    <w:pPr>
      <w:spacing w:after="0" w:line="240" w:lineRule="auto"/>
    </w:pPr>
    <w:rPr>
      <w:rFonts w:eastAsia="Times New Roman"/>
      <w:sz w:val="20"/>
      <w:szCs w:val="20"/>
    </w:rPr>
  </w:style>
  <w:style w:type="character" w:customStyle="1" w:styleId="FootnoteTextChar">
    <w:name w:val="Footnote Text Char"/>
    <w:basedOn w:val="DefaultParagraphFont"/>
    <w:link w:val="FootnoteText"/>
    <w:uiPriority w:val="99"/>
    <w:semiHidden/>
    <w:rsid w:val="00995800"/>
    <w:rPr>
      <w:rFonts w:eastAsia="Times New Roman"/>
      <w:sz w:val="20"/>
      <w:szCs w:val="20"/>
    </w:rPr>
  </w:style>
  <w:style w:type="character" w:styleId="FootnoteReference">
    <w:name w:val="footnote reference"/>
    <w:basedOn w:val="DefaultParagraphFont"/>
    <w:uiPriority w:val="99"/>
    <w:semiHidden/>
    <w:unhideWhenUsed/>
    <w:rsid w:val="00995800"/>
    <w:rPr>
      <w:vertAlign w:val="superscript"/>
    </w:rPr>
  </w:style>
  <w:style w:type="paragraph" w:styleId="Header">
    <w:name w:val="header"/>
    <w:basedOn w:val="Normal"/>
    <w:link w:val="HeaderChar"/>
    <w:uiPriority w:val="99"/>
    <w:unhideWhenUsed/>
    <w:rsid w:val="00D303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030F"/>
  </w:style>
  <w:style w:type="paragraph" w:styleId="Footer">
    <w:name w:val="footer"/>
    <w:basedOn w:val="Normal"/>
    <w:link w:val="FooterChar"/>
    <w:uiPriority w:val="99"/>
    <w:unhideWhenUsed/>
    <w:rsid w:val="00D303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03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D67F1C-CA02-4195-9CBF-8F19FA49E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1277</TotalTime>
  <Pages>20</Pages>
  <Words>3094</Words>
  <Characters>17640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Abrams</dc:creator>
  <cp:keywords/>
  <dc:description/>
  <cp:lastModifiedBy>Howard Abrams</cp:lastModifiedBy>
  <cp:revision>11</cp:revision>
  <cp:lastPrinted>2024-04-02T21:01:00Z</cp:lastPrinted>
  <dcterms:created xsi:type="dcterms:W3CDTF">2024-04-02T21:01:00Z</dcterms:created>
  <dcterms:modified xsi:type="dcterms:W3CDTF">2024-04-14T21:28:00Z</dcterms:modified>
</cp:coreProperties>
</file>