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A4C6" w14:textId="77777777" w:rsidR="005D50FC" w:rsidRPr="000605C0" w:rsidRDefault="00C16CAA" w:rsidP="00EE473C">
      <w:pPr>
        <w:pStyle w:val="ListParagraph"/>
        <w:numPr>
          <w:ilvl w:val="0"/>
          <w:numId w:val="1"/>
        </w:numPr>
        <w:spacing w:after="200" w:line="276" w:lineRule="auto"/>
        <w:rPr>
          <w:sz w:val="28"/>
          <w:szCs w:val="28"/>
        </w:rPr>
      </w:pPr>
      <w:r w:rsidRPr="000605C0">
        <w:rPr>
          <w:rFonts w:ascii="Calibri" w:eastAsia="Times New Roman" w:hAnsi="Calibri" w:cs="Times New Roman"/>
          <w:sz w:val="28"/>
          <w:szCs w:val="28"/>
        </w:rPr>
        <w:t xml:space="preserve">Chapter </w:t>
      </w:r>
      <w:r w:rsidR="005D50FC" w:rsidRPr="000605C0">
        <w:rPr>
          <w:rFonts w:ascii="Calibri" w:eastAsia="Times New Roman" w:hAnsi="Calibri" w:cs="Times New Roman"/>
          <w:sz w:val="28"/>
          <w:szCs w:val="28"/>
        </w:rPr>
        <w:t xml:space="preserve">9 </w:t>
      </w:r>
      <w:r w:rsidR="005D50FC" w:rsidRPr="000605C0">
        <w:rPr>
          <w:sz w:val="28"/>
          <w:szCs w:val="28"/>
        </w:rPr>
        <w:t xml:space="preserve">– Pension and Retirement Planning – The tax benefit of qualified plans is that the employer gets an immediate deduction when contributions to the pension plan are made but the employee defers recognition of income until distributions from the plan are received. </w:t>
      </w:r>
      <w:proofErr w:type="gramStart"/>
      <w:r w:rsidR="005D50FC" w:rsidRPr="000605C0">
        <w:rPr>
          <w:sz w:val="28"/>
          <w:szCs w:val="28"/>
        </w:rPr>
        <w:t>In order for</w:t>
      </w:r>
      <w:proofErr w:type="gramEnd"/>
      <w:r w:rsidR="005D50FC" w:rsidRPr="000605C0">
        <w:rPr>
          <w:sz w:val="28"/>
          <w:szCs w:val="28"/>
        </w:rPr>
        <w:t xml:space="preserve"> a pension plan to qualify for this favorable tax treatment, many detailed requirements must be satisfied including contribution limits, antidiscrimination rules (that is, the plans may not discriminate in favor of high-income employees), and vesting rights. Note that failure to comply with the labor law requirements of ERISA is criminal even if the tax benefits are not claimed.</w:t>
      </w:r>
    </w:p>
    <w:p w14:paraId="30580025" w14:textId="77777777" w:rsidR="005D50FC" w:rsidRPr="000605C0" w:rsidRDefault="005D50FC" w:rsidP="005D50FC">
      <w:pPr>
        <w:pStyle w:val="ListParagraph"/>
        <w:numPr>
          <w:ilvl w:val="1"/>
          <w:numId w:val="1"/>
        </w:numPr>
        <w:spacing w:after="200" w:line="276" w:lineRule="auto"/>
        <w:rPr>
          <w:sz w:val="28"/>
          <w:szCs w:val="28"/>
        </w:rPr>
      </w:pPr>
      <w:r w:rsidRPr="000605C0">
        <w:rPr>
          <w:sz w:val="28"/>
          <w:szCs w:val="28"/>
        </w:rPr>
        <w:t>Types of Pension Plans</w:t>
      </w:r>
    </w:p>
    <w:p w14:paraId="3B0A5878" w14:textId="27FB4D15" w:rsidR="005D50FC" w:rsidRPr="000605C0" w:rsidRDefault="005D50FC" w:rsidP="005D50FC">
      <w:pPr>
        <w:pStyle w:val="ListParagraph"/>
        <w:numPr>
          <w:ilvl w:val="2"/>
          <w:numId w:val="1"/>
        </w:numPr>
        <w:spacing w:after="200" w:line="276" w:lineRule="auto"/>
        <w:rPr>
          <w:sz w:val="28"/>
          <w:szCs w:val="28"/>
        </w:rPr>
      </w:pPr>
      <w:r w:rsidRPr="000605C0">
        <w:rPr>
          <w:sz w:val="28"/>
          <w:szCs w:val="28"/>
        </w:rPr>
        <w:t>Defined Contribution Plan: In a defined benefit contribution plan, the employer and the employee make specified (</w:t>
      </w:r>
      <w:r w:rsidR="000455B5" w:rsidRPr="000605C0">
        <w:rPr>
          <w:sz w:val="28"/>
          <w:szCs w:val="28"/>
        </w:rPr>
        <w:t>i</w:t>
      </w:r>
      <w:r w:rsidRPr="000605C0">
        <w:rPr>
          <w:sz w:val="28"/>
          <w:szCs w:val="28"/>
        </w:rPr>
        <w:t>.e., defined) contributions into the pension fund that is held by the pension administrator as an exempt pension trust. Note that defined contribution plans can include certain profit</w:t>
      </w:r>
      <w:r w:rsidR="00EE473C" w:rsidRPr="000605C0">
        <w:rPr>
          <w:sz w:val="28"/>
          <w:szCs w:val="28"/>
        </w:rPr>
        <w:t>-</w:t>
      </w:r>
      <w:r w:rsidRPr="000605C0">
        <w:rPr>
          <w:sz w:val="28"/>
          <w:szCs w:val="28"/>
        </w:rPr>
        <w:t>sharing plans and employee stock ownership plans (ESOPs) as well as the more traditional 401(k) plans.</w:t>
      </w:r>
    </w:p>
    <w:p w14:paraId="16F0C2F2" w14:textId="77777777" w:rsidR="005D50FC" w:rsidRPr="000605C0" w:rsidRDefault="005D50FC" w:rsidP="005D50FC">
      <w:pPr>
        <w:pStyle w:val="ListParagraph"/>
        <w:numPr>
          <w:ilvl w:val="3"/>
          <w:numId w:val="1"/>
        </w:numPr>
        <w:spacing w:after="200" w:line="276" w:lineRule="auto"/>
        <w:rPr>
          <w:sz w:val="28"/>
          <w:szCs w:val="28"/>
        </w:rPr>
      </w:pPr>
      <w:r w:rsidRPr="000605C0">
        <w:rPr>
          <w:sz w:val="28"/>
          <w:szCs w:val="28"/>
        </w:rPr>
        <w:t>The amount of retirement income that a defined contribution plan will generate is determined by the account balance of the plan at the time of the employee’s retirement. Thus, the employee bears the risk of investment performance. For this reason, most defined contribution plans give the employee some control over plan investments.</w:t>
      </w:r>
    </w:p>
    <w:p w14:paraId="2D737F1A" w14:textId="3FA25A0A" w:rsidR="005D50FC" w:rsidRPr="000605C0" w:rsidRDefault="005D50FC" w:rsidP="005D50FC">
      <w:pPr>
        <w:pStyle w:val="ListParagraph"/>
        <w:numPr>
          <w:ilvl w:val="3"/>
          <w:numId w:val="1"/>
        </w:numPr>
        <w:spacing w:after="200" w:line="276" w:lineRule="auto"/>
        <w:rPr>
          <w:sz w:val="28"/>
          <w:szCs w:val="28"/>
        </w:rPr>
      </w:pPr>
      <w:r w:rsidRPr="000605C0">
        <w:rPr>
          <w:sz w:val="28"/>
          <w:szCs w:val="28"/>
        </w:rPr>
        <w:t>An employee must begin to withdraw funds from a defined contribution plan by April 1 following the year in which the employee turns age 7</w:t>
      </w:r>
      <w:r w:rsidR="002A5033">
        <w:rPr>
          <w:sz w:val="28"/>
          <w:szCs w:val="28"/>
        </w:rPr>
        <w:t>3</w:t>
      </w:r>
      <w:r w:rsidRPr="000605C0">
        <w:rPr>
          <w:sz w:val="28"/>
          <w:szCs w:val="28"/>
        </w:rPr>
        <w:t>. Such withdrawals must equal or exceed certain defined minimum amounts (determined by reference to the plan balance at retirement</w:t>
      </w:r>
      <w:r w:rsidR="002A5033">
        <w:rPr>
          <w:sz w:val="28"/>
          <w:szCs w:val="28"/>
        </w:rPr>
        <w:t xml:space="preserve"> and the retiree’s age</w:t>
      </w:r>
      <w:r w:rsidRPr="000605C0">
        <w:rPr>
          <w:sz w:val="28"/>
          <w:szCs w:val="28"/>
        </w:rPr>
        <w:t>). Funds withdrawn from a defined contribution plan are taxed as ordinary income by the employee when received. Distribut</w:t>
      </w:r>
      <w:r w:rsidR="006265B7" w:rsidRPr="000605C0">
        <w:rPr>
          <w:sz w:val="28"/>
          <w:szCs w:val="28"/>
        </w:rPr>
        <w:t>ions</w:t>
      </w:r>
      <w:r w:rsidRPr="000605C0">
        <w:rPr>
          <w:sz w:val="28"/>
          <w:szCs w:val="28"/>
        </w:rPr>
        <w:t xml:space="preserve"> received </w:t>
      </w:r>
      <w:r w:rsidRPr="000605C0">
        <w:rPr>
          <w:sz w:val="28"/>
          <w:szCs w:val="28"/>
        </w:rPr>
        <w:lastRenderedPageBreak/>
        <w:t>prior to the age of 59½ are also subject to an early withdrawal penalty of 10%.</w:t>
      </w:r>
    </w:p>
    <w:p w14:paraId="42DFE355" w14:textId="77777777" w:rsidR="005D50FC" w:rsidRPr="000605C0" w:rsidRDefault="005D50FC" w:rsidP="005D50FC">
      <w:pPr>
        <w:pStyle w:val="ListParagraph"/>
        <w:numPr>
          <w:ilvl w:val="2"/>
          <w:numId w:val="1"/>
        </w:numPr>
        <w:spacing w:after="200" w:line="276" w:lineRule="auto"/>
        <w:rPr>
          <w:sz w:val="28"/>
          <w:szCs w:val="28"/>
        </w:rPr>
      </w:pPr>
      <w:r w:rsidRPr="000605C0">
        <w:rPr>
          <w:sz w:val="28"/>
          <w:szCs w:val="28"/>
        </w:rPr>
        <w:t>Defined Benefit Plan: A defined benefit plan provides an employee with a stated (that is, defined) benefit upon retirement usually based on some combination of years worked, age at retirement, and highest salary. To fund such a benefit, the employer must make contributions to a pension trust sufficient to fund the eventual obligation. Thus, the employer must make actuarial computations to determine the amount of its annual contribution into the pension trust. If these computations prove false (because, for example, the investment funds do not grow as expected), the pension plan will be underfunded.</w:t>
      </w:r>
    </w:p>
    <w:p w14:paraId="22211A62" w14:textId="56F4B8F9" w:rsidR="005D50FC" w:rsidRPr="000605C0" w:rsidRDefault="005D50FC" w:rsidP="005D50FC">
      <w:pPr>
        <w:pStyle w:val="ListParagraph"/>
        <w:numPr>
          <w:ilvl w:val="3"/>
          <w:numId w:val="1"/>
        </w:numPr>
        <w:spacing w:after="200" w:line="276" w:lineRule="auto"/>
        <w:rPr>
          <w:sz w:val="28"/>
          <w:szCs w:val="28"/>
        </w:rPr>
      </w:pPr>
      <w:r w:rsidRPr="000605C0">
        <w:rPr>
          <w:sz w:val="28"/>
          <w:szCs w:val="28"/>
        </w:rPr>
        <w:t xml:space="preserve">One variety of defined benefit plan is a cash balance plan. In such a plan, the employer guarantees that there will be a specific cash balance in the employee’s account at retirement, and then that cash balance can be used by the employee to purchase an annuity or provide other retirement benefits. See footnote 2 at page </w:t>
      </w:r>
      <w:r w:rsidR="006736DB" w:rsidRPr="000605C0">
        <w:rPr>
          <w:sz w:val="28"/>
          <w:szCs w:val="28"/>
        </w:rPr>
        <w:t>9-2</w:t>
      </w:r>
      <w:r w:rsidRPr="000605C0">
        <w:rPr>
          <w:sz w:val="28"/>
          <w:szCs w:val="28"/>
        </w:rPr>
        <w:t>.</w:t>
      </w:r>
    </w:p>
    <w:p w14:paraId="6AFDE7A8" w14:textId="020569A2" w:rsidR="005D50FC" w:rsidRPr="000605C0" w:rsidRDefault="005D50FC" w:rsidP="005D50FC">
      <w:pPr>
        <w:pStyle w:val="ListParagraph"/>
        <w:numPr>
          <w:ilvl w:val="3"/>
          <w:numId w:val="1"/>
        </w:numPr>
        <w:spacing w:after="200" w:line="276" w:lineRule="auto"/>
        <w:rPr>
          <w:sz w:val="28"/>
          <w:szCs w:val="28"/>
        </w:rPr>
      </w:pPr>
      <w:r w:rsidRPr="000605C0">
        <w:rPr>
          <w:sz w:val="28"/>
          <w:szCs w:val="28"/>
        </w:rPr>
        <w:t xml:space="preserve">The clear trend today is for employers to offer defined contribution plans rather than defined benefit plans, although DBPs remain popular in state and local governments. See Table </w:t>
      </w:r>
      <w:r w:rsidR="006736DB" w:rsidRPr="000605C0">
        <w:rPr>
          <w:sz w:val="28"/>
          <w:szCs w:val="28"/>
        </w:rPr>
        <w:t>9</w:t>
      </w:r>
      <w:r w:rsidRPr="000605C0">
        <w:rPr>
          <w:sz w:val="28"/>
          <w:szCs w:val="28"/>
        </w:rPr>
        <w:t xml:space="preserve">.1 at page </w:t>
      </w:r>
      <w:r w:rsidR="006736DB" w:rsidRPr="000605C0">
        <w:rPr>
          <w:sz w:val="28"/>
          <w:szCs w:val="28"/>
        </w:rPr>
        <w:t>9-3</w:t>
      </w:r>
      <w:r w:rsidRPr="000605C0">
        <w:rPr>
          <w:sz w:val="28"/>
          <w:szCs w:val="28"/>
        </w:rPr>
        <w:t>.</w:t>
      </w:r>
    </w:p>
    <w:p w14:paraId="29AD11DE" w14:textId="77777777" w:rsidR="005D50FC" w:rsidRPr="000605C0" w:rsidRDefault="005D50FC" w:rsidP="005D50FC">
      <w:pPr>
        <w:pStyle w:val="ListParagraph"/>
        <w:numPr>
          <w:ilvl w:val="1"/>
          <w:numId w:val="1"/>
        </w:numPr>
        <w:spacing w:after="200" w:line="276" w:lineRule="auto"/>
        <w:rPr>
          <w:sz w:val="28"/>
          <w:szCs w:val="28"/>
        </w:rPr>
      </w:pPr>
      <w:r w:rsidRPr="000605C0">
        <w:rPr>
          <w:sz w:val="28"/>
          <w:szCs w:val="28"/>
        </w:rPr>
        <w:t>A Comparison of Salary and Pension Compensation: Because contributions to qualified pension plans are immediately deductible to an employer as is direct cash compensation, an employer is indifferent between paying salary or the same amount in the form of a pension contribution. But the employee likely will not be indifferent because each dollar of salary will grow to (1 – t</w:t>
      </w:r>
      <w:r w:rsidRPr="000605C0">
        <w:rPr>
          <w:sz w:val="28"/>
          <w:szCs w:val="28"/>
          <w:vertAlign w:val="subscript"/>
        </w:rPr>
        <w:t>p</w:t>
      </w:r>
      <w:proofErr w:type="gramStart"/>
      <w:r w:rsidRPr="000605C0">
        <w:rPr>
          <w:sz w:val="28"/>
          <w:szCs w:val="28"/>
          <w:vertAlign w:val="subscript"/>
        </w:rPr>
        <w:t>0</w:t>
      </w:r>
      <w:r w:rsidRPr="000605C0">
        <w:rPr>
          <w:sz w:val="28"/>
          <w:szCs w:val="28"/>
        </w:rPr>
        <w:t>)(</w:t>
      </w:r>
      <w:proofErr w:type="gramEnd"/>
      <w:r w:rsidRPr="000605C0">
        <w:rPr>
          <w:sz w:val="28"/>
          <w:szCs w:val="28"/>
        </w:rPr>
        <w:t xml:space="preserve">1 + </w:t>
      </w:r>
      <w:proofErr w:type="spellStart"/>
      <w:r w:rsidRPr="000605C0">
        <w:rPr>
          <w:sz w:val="28"/>
          <w:szCs w:val="28"/>
        </w:rPr>
        <w:t>r</w:t>
      </w:r>
      <w:r w:rsidRPr="000605C0">
        <w:rPr>
          <w:sz w:val="28"/>
          <w:szCs w:val="28"/>
          <w:vertAlign w:val="subscript"/>
        </w:rPr>
        <w:t>pn</w:t>
      </w:r>
      <w:proofErr w:type="spellEnd"/>
      <w:r w:rsidRPr="000605C0">
        <w:rPr>
          <w:sz w:val="28"/>
          <w:szCs w:val="28"/>
        </w:rPr>
        <w:t>)</w:t>
      </w:r>
      <w:r w:rsidRPr="000605C0">
        <w:rPr>
          <w:sz w:val="28"/>
          <w:szCs w:val="28"/>
          <w:vertAlign w:val="superscript"/>
        </w:rPr>
        <w:t>n</w:t>
      </w:r>
      <w:r w:rsidRPr="000605C0">
        <w:rPr>
          <w:sz w:val="28"/>
          <w:szCs w:val="28"/>
        </w:rPr>
        <w:t xml:space="preserve"> (see </w:t>
      </w:r>
      <w:r w:rsidRPr="000605C0">
        <w:rPr>
          <w:b/>
          <w:sz w:val="28"/>
          <w:szCs w:val="28"/>
        </w:rPr>
        <w:t>equation 9.2</w:t>
      </w:r>
      <w:r w:rsidRPr="000605C0">
        <w:rPr>
          <w:sz w:val="28"/>
          <w:szCs w:val="28"/>
        </w:rPr>
        <w:t xml:space="preserve">) while each dollar of pension contribution will grow to (1 + </w:t>
      </w:r>
      <w:proofErr w:type="spellStart"/>
      <w:r w:rsidRPr="000605C0">
        <w:rPr>
          <w:sz w:val="28"/>
          <w:szCs w:val="28"/>
        </w:rPr>
        <w:t>R</w:t>
      </w:r>
      <w:r w:rsidRPr="000605C0">
        <w:rPr>
          <w:sz w:val="28"/>
          <w:szCs w:val="28"/>
          <w:vertAlign w:val="subscript"/>
        </w:rPr>
        <w:t>pen</w:t>
      </w:r>
      <w:proofErr w:type="spellEnd"/>
      <w:r w:rsidRPr="000605C0">
        <w:rPr>
          <w:sz w:val="28"/>
          <w:szCs w:val="28"/>
        </w:rPr>
        <w:t>)</w:t>
      </w:r>
      <w:r w:rsidRPr="000605C0">
        <w:rPr>
          <w:sz w:val="28"/>
          <w:szCs w:val="28"/>
          <w:vertAlign w:val="superscript"/>
        </w:rPr>
        <w:t>n</w:t>
      </w:r>
      <w:r w:rsidRPr="000605C0">
        <w:rPr>
          <w:sz w:val="28"/>
          <w:szCs w:val="28"/>
        </w:rPr>
        <w:t xml:space="preserve">(1 – </w:t>
      </w:r>
      <w:proofErr w:type="spellStart"/>
      <w:r w:rsidRPr="000605C0">
        <w:rPr>
          <w:sz w:val="28"/>
          <w:szCs w:val="28"/>
        </w:rPr>
        <w:t>t</w:t>
      </w:r>
      <w:r w:rsidRPr="000605C0">
        <w:rPr>
          <w:sz w:val="28"/>
          <w:szCs w:val="28"/>
          <w:vertAlign w:val="subscript"/>
        </w:rPr>
        <w:t>pn</w:t>
      </w:r>
      <w:proofErr w:type="spellEnd"/>
      <w:r w:rsidRPr="000605C0">
        <w:rPr>
          <w:sz w:val="28"/>
          <w:szCs w:val="28"/>
        </w:rPr>
        <w:t xml:space="preserve">) (see </w:t>
      </w:r>
      <w:r w:rsidRPr="000605C0">
        <w:rPr>
          <w:b/>
          <w:sz w:val="28"/>
          <w:szCs w:val="28"/>
        </w:rPr>
        <w:t>equation 9.1</w:t>
      </w:r>
      <w:r w:rsidRPr="000605C0">
        <w:rPr>
          <w:sz w:val="28"/>
          <w:szCs w:val="28"/>
        </w:rPr>
        <w:t xml:space="preserve">). In particular, if tax rates remain constant, then pension contributions will be preferred to </w:t>
      </w:r>
      <w:r w:rsidRPr="000605C0">
        <w:rPr>
          <w:sz w:val="28"/>
          <w:szCs w:val="28"/>
        </w:rPr>
        <w:lastRenderedPageBreak/>
        <w:t xml:space="preserve">salary if (1 + </w:t>
      </w:r>
      <w:proofErr w:type="spellStart"/>
      <w:proofErr w:type="gramStart"/>
      <w:r w:rsidRPr="000605C0">
        <w:rPr>
          <w:sz w:val="28"/>
          <w:szCs w:val="28"/>
        </w:rPr>
        <w:t>R</w:t>
      </w:r>
      <w:r w:rsidRPr="000605C0">
        <w:rPr>
          <w:sz w:val="28"/>
          <w:szCs w:val="28"/>
          <w:vertAlign w:val="subscript"/>
        </w:rPr>
        <w:t>pen</w:t>
      </w:r>
      <w:proofErr w:type="spellEnd"/>
      <w:r w:rsidRPr="000605C0">
        <w:rPr>
          <w:sz w:val="28"/>
          <w:szCs w:val="28"/>
        </w:rPr>
        <w:t>)</w:t>
      </w:r>
      <w:r w:rsidRPr="000605C0">
        <w:rPr>
          <w:sz w:val="28"/>
          <w:szCs w:val="28"/>
          <w:vertAlign w:val="superscript"/>
        </w:rPr>
        <w:t>n</w:t>
      </w:r>
      <w:proofErr w:type="gramEnd"/>
      <w:r w:rsidRPr="000605C0">
        <w:rPr>
          <w:sz w:val="28"/>
          <w:szCs w:val="28"/>
        </w:rPr>
        <w:t xml:space="preserve"> &gt; (1 + </w:t>
      </w:r>
      <w:proofErr w:type="spellStart"/>
      <w:r w:rsidRPr="000605C0">
        <w:rPr>
          <w:sz w:val="28"/>
          <w:szCs w:val="28"/>
        </w:rPr>
        <w:t>r</w:t>
      </w:r>
      <w:r w:rsidRPr="000605C0">
        <w:rPr>
          <w:sz w:val="28"/>
          <w:szCs w:val="28"/>
          <w:vertAlign w:val="subscript"/>
        </w:rPr>
        <w:t>pn</w:t>
      </w:r>
      <w:proofErr w:type="spellEnd"/>
      <w:r w:rsidRPr="000605C0">
        <w:rPr>
          <w:sz w:val="28"/>
          <w:szCs w:val="28"/>
        </w:rPr>
        <w:t>)</w:t>
      </w:r>
      <w:r w:rsidRPr="000605C0">
        <w:rPr>
          <w:sz w:val="28"/>
          <w:szCs w:val="28"/>
          <w:vertAlign w:val="superscript"/>
        </w:rPr>
        <w:t>n</w:t>
      </w:r>
      <w:r w:rsidRPr="000605C0">
        <w:rPr>
          <w:sz w:val="28"/>
          <w:szCs w:val="28"/>
        </w:rPr>
        <w:t xml:space="preserve"> (see</w:t>
      </w:r>
      <w:r w:rsidRPr="000605C0">
        <w:rPr>
          <w:b/>
          <w:sz w:val="28"/>
          <w:szCs w:val="28"/>
        </w:rPr>
        <w:t xml:space="preserve"> equation 9.3</w:t>
      </w:r>
      <w:r w:rsidRPr="000605C0">
        <w:rPr>
          <w:sz w:val="28"/>
          <w:szCs w:val="28"/>
        </w:rPr>
        <w:t xml:space="preserve">). (Note that </w:t>
      </w:r>
      <w:proofErr w:type="spellStart"/>
      <w:r w:rsidRPr="000605C0">
        <w:rPr>
          <w:sz w:val="28"/>
          <w:szCs w:val="28"/>
        </w:rPr>
        <w:t>r</w:t>
      </w:r>
      <w:r w:rsidRPr="000605C0">
        <w:rPr>
          <w:sz w:val="28"/>
          <w:szCs w:val="28"/>
          <w:vertAlign w:val="subscript"/>
        </w:rPr>
        <w:t>pn</w:t>
      </w:r>
      <w:proofErr w:type="spellEnd"/>
      <w:r w:rsidRPr="000605C0">
        <w:rPr>
          <w:sz w:val="28"/>
          <w:szCs w:val="28"/>
        </w:rPr>
        <w:t xml:space="preserve"> is the annualized, </w:t>
      </w:r>
      <w:r w:rsidRPr="000605C0">
        <w:rPr>
          <w:i/>
          <w:sz w:val="28"/>
          <w:szCs w:val="28"/>
        </w:rPr>
        <w:t>after-tax</w:t>
      </w:r>
      <w:r w:rsidRPr="000605C0">
        <w:rPr>
          <w:sz w:val="28"/>
          <w:szCs w:val="28"/>
        </w:rPr>
        <w:t xml:space="preserve"> return that the employee can earn outside of the pension trust while </w:t>
      </w:r>
      <w:proofErr w:type="spellStart"/>
      <w:r w:rsidRPr="000605C0">
        <w:rPr>
          <w:sz w:val="28"/>
          <w:szCs w:val="28"/>
        </w:rPr>
        <w:t>R</w:t>
      </w:r>
      <w:r w:rsidRPr="000605C0">
        <w:rPr>
          <w:sz w:val="28"/>
          <w:szCs w:val="28"/>
          <w:vertAlign w:val="subscript"/>
        </w:rPr>
        <w:t>pen</w:t>
      </w:r>
      <w:proofErr w:type="spellEnd"/>
      <w:r w:rsidRPr="000605C0">
        <w:rPr>
          <w:sz w:val="28"/>
          <w:szCs w:val="28"/>
        </w:rPr>
        <w:t xml:space="preserve"> is the </w:t>
      </w:r>
      <w:r w:rsidRPr="000605C0">
        <w:rPr>
          <w:i/>
          <w:sz w:val="28"/>
          <w:szCs w:val="28"/>
        </w:rPr>
        <w:t>before-tax</w:t>
      </w:r>
      <w:r w:rsidRPr="000605C0">
        <w:rPr>
          <w:sz w:val="28"/>
          <w:szCs w:val="28"/>
        </w:rPr>
        <w:t xml:space="preserve"> rate of return that can be earned inside the pension trust.)</w:t>
      </w:r>
    </w:p>
    <w:p w14:paraId="6F93329C" w14:textId="77777777" w:rsidR="005D50FC" w:rsidRPr="000605C0" w:rsidRDefault="005D50FC" w:rsidP="005D50FC">
      <w:pPr>
        <w:pStyle w:val="ListParagraph"/>
        <w:numPr>
          <w:ilvl w:val="2"/>
          <w:numId w:val="1"/>
        </w:numPr>
        <w:spacing w:after="200" w:line="276" w:lineRule="auto"/>
        <w:rPr>
          <w:sz w:val="28"/>
          <w:szCs w:val="28"/>
        </w:rPr>
      </w:pPr>
      <w:r w:rsidRPr="000605C0">
        <w:rPr>
          <w:sz w:val="28"/>
          <w:szCs w:val="28"/>
        </w:rPr>
        <w:t xml:space="preserve">Rates of Return on Investments </w:t>
      </w:r>
      <w:proofErr w:type="gramStart"/>
      <w:r w:rsidRPr="000605C0">
        <w:rPr>
          <w:sz w:val="28"/>
          <w:szCs w:val="28"/>
        </w:rPr>
        <w:t>In</w:t>
      </w:r>
      <w:proofErr w:type="gramEnd"/>
      <w:r w:rsidRPr="000605C0">
        <w:rPr>
          <w:sz w:val="28"/>
          <w:szCs w:val="28"/>
        </w:rPr>
        <w:t xml:space="preserve"> and Out of Pension Accounts: Investment returns inside pension accounts may be reduced because employers are permitted to limit the investment opportunities of the employees. Such limitations may preclude optimal investments by eliminating, for example, the ability to engage in family tax-planning strategies.</w:t>
      </w:r>
    </w:p>
    <w:p w14:paraId="7D097704" w14:textId="1D8D6571" w:rsidR="005D50FC" w:rsidRDefault="005D50FC" w:rsidP="005D50FC">
      <w:pPr>
        <w:pStyle w:val="ListParagraph"/>
        <w:numPr>
          <w:ilvl w:val="2"/>
          <w:numId w:val="1"/>
        </w:numPr>
        <w:spacing w:after="200" w:line="276" w:lineRule="auto"/>
        <w:rPr>
          <w:sz w:val="28"/>
          <w:szCs w:val="28"/>
        </w:rPr>
      </w:pPr>
      <w:r w:rsidRPr="000605C0">
        <w:rPr>
          <w:sz w:val="28"/>
          <w:szCs w:val="28"/>
        </w:rPr>
        <w:t>Antidiscrimination Rules: Qualified pension plans are not permitted to be limited to highly compensated employees. But for lower income employees who have significant liquidity concerns, a pension contribution might be worth less than an equivalent salary payment.</w:t>
      </w:r>
    </w:p>
    <w:p w14:paraId="7A319025" w14:textId="77777777" w:rsidR="00AF12B2" w:rsidRDefault="00AF12B2" w:rsidP="005D50FC">
      <w:pPr>
        <w:pStyle w:val="ListParagraph"/>
        <w:numPr>
          <w:ilvl w:val="2"/>
          <w:numId w:val="1"/>
        </w:numPr>
        <w:spacing w:after="200" w:line="276" w:lineRule="auto"/>
        <w:rPr>
          <w:sz w:val="28"/>
          <w:szCs w:val="28"/>
        </w:rPr>
      </w:pPr>
      <w:r>
        <w:rPr>
          <w:sz w:val="28"/>
          <w:szCs w:val="28"/>
        </w:rPr>
        <w:t>A Look-Back on Section 83</w:t>
      </w:r>
    </w:p>
    <w:p w14:paraId="54795BFE" w14:textId="5A73DCC4" w:rsidR="00AF12B2" w:rsidRDefault="00AF12B2" w:rsidP="00AF12B2">
      <w:pPr>
        <w:pStyle w:val="ListParagraph"/>
        <w:numPr>
          <w:ilvl w:val="3"/>
          <w:numId w:val="1"/>
        </w:numPr>
        <w:spacing w:after="200" w:line="276" w:lineRule="auto"/>
        <w:rPr>
          <w:sz w:val="28"/>
          <w:szCs w:val="28"/>
        </w:rPr>
      </w:pPr>
      <w:r>
        <w:rPr>
          <w:sz w:val="28"/>
          <w:szCs w:val="28"/>
        </w:rPr>
        <w:t>Recall that compensation other than qualified pension plans and incentive stock options is covered by section 83. Under section 83, the employer obtains a deduction for compensation when the compensation is includible to the employee. Accordingly, if deferred compensation is paid, the employee gets deferral on the inclusion (a good thing</w:t>
      </w:r>
      <w:proofErr w:type="gramStart"/>
      <w:r>
        <w:rPr>
          <w:sz w:val="28"/>
          <w:szCs w:val="28"/>
        </w:rPr>
        <w:t>)</w:t>
      </w:r>
      <w:proofErr w:type="gramEnd"/>
      <w:r>
        <w:rPr>
          <w:sz w:val="28"/>
          <w:szCs w:val="28"/>
        </w:rPr>
        <w:t xml:space="preserve"> but the employer gets deferral on the deduction (a bad thing).</w:t>
      </w:r>
    </w:p>
    <w:p w14:paraId="29E938D3" w14:textId="1F9FAFA7" w:rsidR="00AF12B2" w:rsidRDefault="00AF12B2" w:rsidP="00AF12B2">
      <w:pPr>
        <w:pStyle w:val="ListParagraph"/>
        <w:numPr>
          <w:ilvl w:val="3"/>
          <w:numId w:val="1"/>
        </w:numPr>
        <w:spacing w:after="200" w:line="276" w:lineRule="auto"/>
        <w:rPr>
          <w:sz w:val="28"/>
          <w:szCs w:val="28"/>
        </w:rPr>
      </w:pPr>
      <w:r>
        <w:rPr>
          <w:sz w:val="28"/>
          <w:szCs w:val="28"/>
        </w:rPr>
        <w:t xml:space="preserve">This trade-off fails if the employer is not subject to the federal income tax (as least as it applies to compensation) as is true for most nonprofit organizations. In such circumstances, the deferral benefit to the employee goes unmatched by any deferral cost to the employee. More generally, </w:t>
      </w:r>
      <w:proofErr w:type="spellStart"/>
      <w:r>
        <w:rPr>
          <w:sz w:val="28"/>
          <w:szCs w:val="28"/>
        </w:rPr>
        <w:t>r</w:t>
      </w:r>
      <w:r w:rsidRPr="00AF12B2">
        <w:rPr>
          <w:sz w:val="28"/>
          <w:szCs w:val="28"/>
          <w:vertAlign w:val="subscript"/>
        </w:rPr>
        <w:t>e</w:t>
      </w:r>
      <w:r>
        <w:rPr>
          <w:sz w:val="28"/>
          <w:szCs w:val="28"/>
          <w:vertAlign w:val="subscript"/>
        </w:rPr>
        <w:t>r</w:t>
      </w:r>
      <w:proofErr w:type="spellEnd"/>
      <w:r>
        <w:rPr>
          <w:sz w:val="28"/>
          <w:szCs w:val="28"/>
        </w:rPr>
        <w:t xml:space="preserve"> = </w:t>
      </w:r>
      <w:proofErr w:type="spellStart"/>
      <w:r>
        <w:rPr>
          <w:sz w:val="28"/>
          <w:szCs w:val="28"/>
        </w:rPr>
        <w:t>R</w:t>
      </w:r>
      <w:r w:rsidRPr="00AF12B2">
        <w:rPr>
          <w:sz w:val="28"/>
          <w:szCs w:val="28"/>
          <w:vertAlign w:val="subscript"/>
        </w:rPr>
        <w:t>e</w:t>
      </w:r>
      <w:r>
        <w:rPr>
          <w:sz w:val="28"/>
          <w:szCs w:val="28"/>
          <w:vertAlign w:val="subscript"/>
        </w:rPr>
        <w:t>r</w:t>
      </w:r>
      <w:proofErr w:type="spellEnd"/>
      <w:r>
        <w:rPr>
          <w:sz w:val="28"/>
          <w:szCs w:val="28"/>
        </w:rPr>
        <w:t xml:space="preserve"> for a nonprofit organization in most circumstances, where the “er” subscript refers to the investment return of the employer.</w:t>
      </w:r>
    </w:p>
    <w:p w14:paraId="4C22554F" w14:textId="3573EE26" w:rsidR="00D71CC0" w:rsidRPr="000605C0" w:rsidRDefault="00D71CC0" w:rsidP="00AF12B2">
      <w:pPr>
        <w:pStyle w:val="ListParagraph"/>
        <w:numPr>
          <w:ilvl w:val="3"/>
          <w:numId w:val="1"/>
        </w:numPr>
        <w:spacing w:after="200" w:line="276" w:lineRule="auto"/>
        <w:rPr>
          <w:sz w:val="28"/>
          <w:szCs w:val="28"/>
        </w:rPr>
      </w:pPr>
      <w:r>
        <w:rPr>
          <w:sz w:val="28"/>
          <w:szCs w:val="28"/>
        </w:rPr>
        <w:lastRenderedPageBreak/>
        <w:t xml:space="preserve">Consider the “Cadillac tax” that initially was imposed on </w:t>
      </w:r>
      <w:r w:rsidR="00FE5A0A">
        <w:rPr>
          <w:sz w:val="28"/>
          <w:szCs w:val="28"/>
        </w:rPr>
        <w:t xml:space="preserve">the cost of employee medical plans considered excessive. As to such excess, the payor was denied </w:t>
      </w:r>
      <w:r w:rsidR="00997D27">
        <w:rPr>
          <w:sz w:val="28"/>
          <w:szCs w:val="28"/>
        </w:rPr>
        <w:t>a</w:t>
      </w:r>
      <w:r w:rsidR="00FE5A0A">
        <w:rPr>
          <w:sz w:val="28"/>
          <w:szCs w:val="28"/>
        </w:rPr>
        <w:t xml:space="preserve"> deduction. Often, the payor was not the employee but rather a third-party administrator such as Blue Cross/Blue Shield. In such cases, the deduction-limitation was not applied to the employer’s reimbursement of the administrator’s costs but rather to the administrator itself. But because the administrator lost the deduction, it charged the employer more, and while that additional payment was deductible by the employer, it also was includible to the administrator. If no deduction limitation applied</w:t>
      </w:r>
      <w:r w:rsidR="0016412E">
        <w:rPr>
          <w:sz w:val="28"/>
          <w:szCs w:val="28"/>
        </w:rPr>
        <w:t>, the employer would pay and deduct, say, $D, and the administrator would include and deduct the same amount. But if the administrator no longer could deduct its payments, it would demand from the employer $D</w:t>
      </w:r>
      <w:proofErr w:type="gramStart"/>
      <w:r w:rsidR="0016412E">
        <w:rPr>
          <w:sz w:val="28"/>
          <w:szCs w:val="28"/>
        </w:rPr>
        <w:t>/(</w:t>
      </w:r>
      <w:proofErr w:type="gramEnd"/>
      <w:r w:rsidR="0016412E">
        <w:rPr>
          <w:sz w:val="28"/>
          <w:szCs w:val="28"/>
        </w:rPr>
        <w:t>1 – t) so that it would have $D after its taxes with which to pay the employee. The employer would pay and deduct $D</w:t>
      </w:r>
      <w:proofErr w:type="gramStart"/>
      <w:r w:rsidR="0016412E">
        <w:rPr>
          <w:sz w:val="28"/>
          <w:szCs w:val="28"/>
        </w:rPr>
        <w:t>/(</w:t>
      </w:r>
      <w:proofErr w:type="gramEnd"/>
      <w:r w:rsidR="0016412E">
        <w:rPr>
          <w:sz w:val="28"/>
          <w:szCs w:val="28"/>
        </w:rPr>
        <w:t>1 – t), resulting in an after-tax cost to the employer of $D, just as if it had paid but not deducted $D; i.e., it is in the same economic position as if it had paid the employee directly but could not deduct the payment. However, if the employer is a nonprofit organ</w:t>
      </w:r>
      <w:r w:rsidR="00EA7FAB">
        <w:rPr>
          <w:sz w:val="28"/>
          <w:szCs w:val="28"/>
        </w:rPr>
        <w:t>ization, it must still pay $D</w:t>
      </w:r>
      <w:proofErr w:type="gramStart"/>
      <w:r w:rsidR="00EA7FAB">
        <w:rPr>
          <w:sz w:val="28"/>
          <w:szCs w:val="28"/>
        </w:rPr>
        <w:t>/(</w:t>
      </w:r>
      <w:proofErr w:type="gramEnd"/>
      <w:r w:rsidR="00EA7FAB">
        <w:rPr>
          <w:sz w:val="28"/>
          <w:szCs w:val="28"/>
        </w:rPr>
        <w:t>1 – t) to cover the administrator’s cost but now there is no deduction to the employer, making the employer worse off than simply by-passing the administrator and paying the employee directly.</w:t>
      </w:r>
    </w:p>
    <w:p w14:paraId="025FA03D" w14:textId="03C45BB2" w:rsidR="004329BA" w:rsidRPr="000605C0" w:rsidRDefault="005D50FC" w:rsidP="00EE473C">
      <w:pPr>
        <w:pStyle w:val="ListParagraph"/>
        <w:numPr>
          <w:ilvl w:val="1"/>
          <w:numId w:val="1"/>
        </w:numPr>
        <w:spacing w:after="200" w:line="276" w:lineRule="auto"/>
        <w:rPr>
          <w:sz w:val="28"/>
          <w:szCs w:val="28"/>
        </w:rPr>
      </w:pPr>
      <w:r w:rsidRPr="000605C0">
        <w:rPr>
          <w:sz w:val="28"/>
          <w:szCs w:val="28"/>
        </w:rPr>
        <w:t xml:space="preserve">Deferred Compensation Versus Pension: Because an employer can deduct </w:t>
      </w:r>
      <w:r w:rsidR="003C0C59" w:rsidRPr="000605C0">
        <w:rPr>
          <w:sz w:val="28"/>
          <w:szCs w:val="28"/>
        </w:rPr>
        <w:t xml:space="preserve">(nonqualified) </w:t>
      </w:r>
      <w:r w:rsidRPr="000605C0">
        <w:rPr>
          <w:sz w:val="28"/>
          <w:szCs w:val="28"/>
        </w:rPr>
        <w:t xml:space="preserve">deferred compensation only in the year actually paid to the employee, one dollar reserved to pay deferred compensation in n years will generate deferred compensation of (1 + </w:t>
      </w:r>
      <w:proofErr w:type="spellStart"/>
      <w:proofErr w:type="gramStart"/>
      <w:r w:rsidRPr="000605C0">
        <w:rPr>
          <w:sz w:val="28"/>
          <w:szCs w:val="28"/>
        </w:rPr>
        <w:t>r</w:t>
      </w:r>
      <w:r w:rsidRPr="000605C0">
        <w:rPr>
          <w:sz w:val="28"/>
          <w:szCs w:val="28"/>
          <w:vertAlign w:val="subscript"/>
        </w:rPr>
        <w:t>cn</w:t>
      </w:r>
      <w:proofErr w:type="spellEnd"/>
      <w:r w:rsidRPr="000605C0">
        <w:rPr>
          <w:sz w:val="28"/>
          <w:szCs w:val="28"/>
        </w:rPr>
        <w:t>)</w:t>
      </w:r>
      <w:r w:rsidRPr="000605C0">
        <w:rPr>
          <w:sz w:val="28"/>
          <w:szCs w:val="28"/>
          <w:vertAlign w:val="superscript"/>
        </w:rPr>
        <w:t>n</w:t>
      </w:r>
      <w:proofErr w:type="gramEnd"/>
      <w:r w:rsidRPr="000605C0">
        <w:rPr>
          <w:sz w:val="28"/>
          <w:szCs w:val="28"/>
        </w:rPr>
        <w:t xml:space="preserve"> /(1 –  </w:t>
      </w:r>
      <w:proofErr w:type="spellStart"/>
      <w:r w:rsidRPr="000605C0">
        <w:rPr>
          <w:sz w:val="28"/>
          <w:szCs w:val="28"/>
        </w:rPr>
        <w:t>t</w:t>
      </w:r>
      <w:r w:rsidRPr="000605C0">
        <w:rPr>
          <w:sz w:val="28"/>
          <w:szCs w:val="28"/>
          <w:vertAlign w:val="subscript"/>
        </w:rPr>
        <w:t>cn</w:t>
      </w:r>
      <w:proofErr w:type="spellEnd"/>
      <w:r w:rsidRPr="000605C0">
        <w:rPr>
          <w:sz w:val="28"/>
          <w:szCs w:val="28"/>
        </w:rPr>
        <w:t xml:space="preserve">). Because the after-tax cost of a dollar of pension </w:t>
      </w:r>
      <w:r w:rsidRPr="000605C0">
        <w:rPr>
          <w:sz w:val="28"/>
          <w:szCs w:val="28"/>
        </w:rPr>
        <w:lastRenderedPageBreak/>
        <w:t>contribution equals (1 – t</w:t>
      </w:r>
      <w:r w:rsidRPr="000605C0">
        <w:rPr>
          <w:sz w:val="28"/>
          <w:szCs w:val="28"/>
          <w:vertAlign w:val="subscript"/>
        </w:rPr>
        <w:t>c0</w:t>
      </w:r>
      <w:r w:rsidRPr="000605C0">
        <w:rPr>
          <w:sz w:val="28"/>
          <w:szCs w:val="28"/>
        </w:rPr>
        <w:t>), an employer is indifferent between contributing one dollar into a qualified pension plan or reserving (1 – t</w:t>
      </w:r>
      <w:r w:rsidRPr="000605C0">
        <w:rPr>
          <w:sz w:val="28"/>
          <w:szCs w:val="28"/>
          <w:vertAlign w:val="subscript"/>
        </w:rPr>
        <w:t>c0</w:t>
      </w:r>
      <w:r w:rsidRPr="000605C0">
        <w:rPr>
          <w:sz w:val="28"/>
          <w:szCs w:val="28"/>
        </w:rPr>
        <w:t xml:space="preserve">) (1 + </w:t>
      </w:r>
      <w:proofErr w:type="spellStart"/>
      <w:proofErr w:type="gramStart"/>
      <w:r w:rsidRPr="000605C0">
        <w:rPr>
          <w:sz w:val="28"/>
          <w:szCs w:val="28"/>
        </w:rPr>
        <w:t>r</w:t>
      </w:r>
      <w:r w:rsidRPr="000605C0">
        <w:rPr>
          <w:sz w:val="28"/>
          <w:szCs w:val="28"/>
          <w:vertAlign w:val="subscript"/>
        </w:rPr>
        <w:t>cn</w:t>
      </w:r>
      <w:proofErr w:type="spellEnd"/>
      <w:r w:rsidRPr="000605C0">
        <w:rPr>
          <w:sz w:val="28"/>
          <w:szCs w:val="28"/>
        </w:rPr>
        <w:t>)</w:t>
      </w:r>
      <w:r w:rsidRPr="000605C0">
        <w:rPr>
          <w:sz w:val="28"/>
          <w:szCs w:val="28"/>
          <w:vertAlign w:val="superscript"/>
        </w:rPr>
        <w:t>n</w:t>
      </w:r>
      <w:proofErr w:type="gramEnd"/>
      <w:r w:rsidRPr="000605C0">
        <w:rPr>
          <w:sz w:val="28"/>
          <w:szCs w:val="28"/>
        </w:rPr>
        <w:t xml:space="preserve"> /(1 –  </w:t>
      </w:r>
      <w:proofErr w:type="spellStart"/>
      <w:r w:rsidRPr="000605C0">
        <w:rPr>
          <w:sz w:val="28"/>
          <w:szCs w:val="28"/>
        </w:rPr>
        <w:t>t</w:t>
      </w:r>
      <w:r w:rsidRPr="000605C0">
        <w:rPr>
          <w:sz w:val="28"/>
          <w:szCs w:val="28"/>
          <w:vertAlign w:val="subscript"/>
        </w:rPr>
        <w:t>cn</w:t>
      </w:r>
      <w:proofErr w:type="spellEnd"/>
      <w:r w:rsidRPr="000605C0">
        <w:rPr>
          <w:sz w:val="28"/>
          <w:szCs w:val="28"/>
        </w:rPr>
        <w:t xml:space="preserve">). From the employee’s perspective, one dollar invested in the pension plan will yield (1 + </w:t>
      </w:r>
      <w:proofErr w:type="spellStart"/>
      <w:proofErr w:type="gramStart"/>
      <w:r w:rsidRPr="000605C0">
        <w:rPr>
          <w:sz w:val="28"/>
          <w:szCs w:val="28"/>
        </w:rPr>
        <w:t>R</w:t>
      </w:r>
      <w:r w:rsidRPr="000605C0">
        <w:rPr>
          <w:sz w:val="28"/>
          <w:szCs w:val="28"/>
          <w:vertAlign w:val="subscript"/>
        </w:rPr>
        <w:t>pen</w:t>
      </w:r>
      <w:proofErr w:type="spellEnd"/>
      <w:r w:rsidRPr="000605C0">
        <w:rPr>
          <w:sz w:val="28"/>
          <w:szCs w:val="28"/>
        </w:rPr>
        <w:t>)</w:t>
      </w:r>
      <w:r w:rsidRPr="000605C0">
        <w:rPr>
          <w:sz w:val="28"/>
          <w:szCs w:val="28"/>
          <w:vertAlign w:val="superscript"/>
        </w:rPr>
        <w:t>n</w:t>
      </w:r>
      <w:proofErr w:type="gramEnd"/>
      <w:r w:rsidRPr="000605C0">
        <w:rPr>
          <w:sz w:val="28"/>
          <w:szCs w:val="28"/>
        </w:rPr>
        <w:t xml:space="preserve">(1 – </w:t>
      </w:r>
      <w:proofErr w:type="spellStart"/>
      <w:r w:rsidRPr="000605C0">
        <w:rPr>
          <w:sz w:val="28"/>
          <w:szCs w:val="28"/>
        </w:rPr>
        <w:t>t</w:t>
      </w:r>
      <w:r w:rsidRPr="000605C0">
        <w:rPr>
          <w:sz w:val="28"/>
          <w:szCs w:val="28"/>
          <w:vertAlign w:val="subscript"/>
        </w:rPr>
        <w:t>pn</w:t>
      </w:r>
      <w:proofErr w:type="spellEnd"/>
      <w:r w:rsidRPr="000605C0">
        <w:rPr>
          <w:sz w:val="28"/>
          <w:szCs w:val="28"/>
        </w:rPr>
        <w:t>) while reserving the equivalent amount for deferred compensation will yield [(1 – t</w:t>
      </w:r>
      <w:r w:rsidRPr="000605C0">
        <w:rPr>
          <w:sz w:val="28"/>
          <w:szCs w:val="28"/>
          <w:vertAlign w:val="subscript"/>
        </w:rPr>
        <w:t>c0</w:t>
      </w:r>
      <w:r w:rsidRPr="000605C0">
        <w:rPr>
          <w:sz w:val="28"/>
          <w:szCs w:val="28"/>
        </w:rPr>
        <w:t xml:space="preserve">) (1 + </w:t>
      </w:r>
      <w:proofErr w:type="spellStart"/>
      <w:r w:rsidRPr="000605C0">
        <w:rPr>
          <w:sz w:val="28"/>
          <w:szCs w:val="28"/>
        </w:rPr>
        <w:t>r</w:t>
      </w:r>
      <w:r w:rsidRPr="000605C0">
        <w:rPr>
          <w:sz w:val="28"/>
          <w:szCs w:val="28"/>
          <w:vertAlign w:val="subscript"/>
        </w:rPr>
        <w:t>cn</w:t>
      </w:r>
      <w:proofErr w:type="spellEnd"/>
      <w:r w:rsidRPr="000605C0">
        <w:rPr>
          <w:sz w:val="28"/>
          <w:szCs w:val="28"/>
        </w:rPr>
        <w:t>)</w:t>
      </w:r>
      <w:r w:rsidRPr="000605C0">
        <w:rPr>
          <w:sz w:val="28"/>
          <w:szCs w:val="28"/>
          <w:vertAlign w:val="superscript"/>
        </w:rPr>
        <w:t>n</w:t>
      </w:r>
      <w:r w:rsidRPr="000605C0">
        <w:rPr>
          <w:sz w:val="28"/>
          <w:szCs w:val="28"/>
        </w:rPr>
        <w:t xml:space="preserve"> /(1 –  </w:t>
      </w:r>
      <w:proofErr w:type="spellStart"/>
      <w:r w:rsidRPr="000605C0">
        <w:rPr>
          <w:sz w:val="28"/>
          <w:szCs w:val="28"/>
        </w:rPr>
        <w:t>t</w:t>
      </w:r>
      <w:r w:rsidRPr="000605C0">
        <w:rPr>
          <w:sz w:val="28"/>
          <w:szCs w:val="28"/>
          <w:vertAlign w:val="subscript"/>
        </w:rPr>
        <w:t>cn</w:t>
      </w:r>
      <w:proofErr w:type="spellEnd"/>
      <w:r w:rsidRPr="000605C0">
        <w:rPr>
          <w:sz w:val="28"/>
          <w:szCs w:val="28"/>
        </w:rPr>
        <w:t xml:space="preserve">)]( 1 – </w:t>
      </w:r>
      <w:proofErr w:type="spellStart"/>
      <w:r w:rsidRPr="000605C0">
        <w:rPr>
          <w:sz w:val="28"/>
          <w:szCs w:val="28"/>
        </w:rPr>
        <w:t>t</w:t>
      </w:r>
      <w:r w:rsidRPr="000605C0">
        <w:rPr>
          <w:sz w:val="28"/>
          <w:szCs w:val="28"/>
          <w:vertAlign w:val="subscript"/>
        </w:rPr>
        <w:t>pn</w:t>
      </w:r>
      <w:proofErr w:type="spellEnd"/>
      <w:r w:rsidRPr="000605C0">
        <w:rPr>
          <w:sz w:val="28"/>
          <w:szCs w:val="28"/>
        </w:rPr>
        <w:t xml:space="preserve">) (see </w:t>
      </w:r>
      <w:r w:rsidRPr="000605C0">
        <w:rPr>
          <w:b/>
          <w:sz w:val="28"/>
          <w:szCs w:val="28"/>
        </w:rPr>
        <w:t>equation 9.4</w:t>
      </w:r>
      <w:r w:rsidRPr="000605C0">
        <w:rPr>
          <w:sz w:val="28"/>
          <w:szCs w:val="28"/>
        </w:rPr>
        <w:t xml:space="preserve">). As discussed on page </w:t>
      </w:r>
      <w:r w:rsidR="003C0C59" w:rsidRPr="000605C0">
        <w:rPr>
          <w:sz w:val="28"/>
          <w:szCs w:val="28"/>
        </w:rPr>
        <w:t>9-7</w:t>
      </w:r>
      <w:r w:rsidRPr="000605C0">
        <w:rPr>
          <w:sz w:val="28"/>
          <w:szCs w:val="28"/>
        </w:rPr>
        <w:t xml:space="preserve">, a comparison of these two results for the employee yields the following results: (1) the employee’s tax rates have no effect on the comparison; and (2) if corporate tax rates do not change, then the deferred compensation will be preferred to the pension contribution only if (1 + </w:t>
      </w:r>
      <w:proofErr w:type="spellStart"/>
      <w:proofErr w:type="gramStart"/>
      <w:r w:rsidRPr="000605C0">
        <w:rPr>
          <w:sz w:val="28"/>
          <w:szCs w:val="28"/>
        </w:rPr>
        <w:t>r</w:t>
      </w:r>
      <w:r w:rsidRPr="000605C0">
        <w:rPr>
          <w:sz w:val="28"/>
          <w:szCs w:val="28"/>
          <w:vertAlign w:val="subscript"/>
        </w:rPr>
        <w:t>cn</w:t>
      </w:r>
      <w:proofErr w:type="spellEnd"/>
      <w:r w:rsidRPr="000605C0">
        <w:rPr>
          <w:sz w:val="28"/>
          <w:szCs w:val="28"/>
        </w:rPr>
        <w:t>)</w:t>
      </w:r>
      <w:r w:rsidRPr="000605C0">
        <w:rPr>
          <w:sz w:val="28"/>
          <w:szCs w:val="28"/>
          <w:vertAlign w:val="superscript"/>
        </w:rPr>
        <w:t>n</w:t>
      </w:r>
      <w:proofErr w:type="gramEnd"/>
      <w:r w:rsidRPr="000605C0">
        <w:rPr>
          <w:sz w:val="28"/>
          <w:szCs w:val="28"/>
        </w:rPr>
        <w:t xml:space="preserve"> &gt; (1 + </w:t>
      </w:r>
      <w:proofErr w:type="spellStart"/>
      <w:r w:rsidRPr="000605C0">
        <w:rPr>
          <w:sz w:val="28"/>
          <w:szCs w:val="28"/>
        </w:rPr>
        <w:t>R</w:t>
      </w:r>
      <w:r w:rsidRPr="000605C0">
        <w:rPr>
          <w:sz w:val="28"/>
          <w:szCs w:val="28"/>
          <w:vertAlign w:val="subscript"/>
        </w:rPr>
        <w:t>pen</w:t>
      </w:r>
      <w:proofErr w:type="spellEnd"/>
      <w:r w:rsidRPr="000605C0">
        <w:rPr>
          <w:sz w:val="28"/>
          <w:szCs w:val="28"/>
        </w:rPr>
        <w:t>)</w:t>
      </w:r>
      <w:r w:rsidRPr="000605C0">
        <w:rPr>
          <w:sz w:val="28"/>
          <w:szCs w:val="28"/>
          <w:vertAlign w:val="superscript"/>
        </w:rPr>
        <w:t>n</w:t>
      </w:r>
      <w:r w:rsidRPr="000605C0">
        <w:rPr>
          <w:sz w:val="28"/>
          <w:szCs w:val="28"/>
        </w:rPr>
        <w:t>.</w:t>
      </w:r>
    </w:p>
    <w:p w14:paraId="1EFE688C" w14:textId="575E4044" w:rsidR="004953C2" w:rsidRPr="000605C0" w:rsidRDefault="004953C2" w:rsidP="00EE473C">
      <w:pPr>
        <w:pStyle w:val="ListParagraph"/>
        <w:numPr>
          <w:ilvl w:val="1"/>
          <w:numId w:val="1"/>
        </w:numPr>
        <w:spacing w:after="200" w:line="276" w:lineRule="auto"/>
        <w:rPr>
          <w:sz w:val="28"/>
          <w:szCs w:val="28"/>
        </w:rPr>
      </w:pPr>
      <w:r w:rsidRPr="000605C0">
        <w:rPr>
          <w:sz w:val="28"/>
          <w:szCs w:val="28"/>
        </w:rPr>
        <w:t>The Stocks-Versus-Bonds Puzzle</w:t>
      </w:r>
      <w:r w:rsidR="009F7F9C" w:rsidRPr="000605C0">
        <w:rPr>
          <w:sz w:val="28"/>
          <w:szCs w:val="28"/>
        </w:rPr>
        <w:t xml:space="preserve">: Because pension funds trusts are nontaxable organizations and distributions from pension fund trusts are taxed as ordinary income to the employee when distributed, pension fund trusts form a natural clientele for highly taxed bonds. Yet equities historically comprised </w:t>
      </w:r>
      <w:proofErr w:type="gramStart"/>
      <w:r w:rsidR="009F7F9C" w:rsidRPr="000605C0">
        <w:rPr>
          <w:sz w:val="28"/>
          <w:szCs w:val="28"/>
        </w:rPr>
        <w:t>the majority of</w:t>
      </w:r>
      <w:proofErr w:type="gramEnd"/>
      <w:r w:rsidR="009F7F9C" w:rsidRPr="000605C0">
        <w:rPr>
          <w:sz w:val="28"/>
          <w:szCs w:val="28"/>
        </w:rPr>
        <w:t xml:space="preserve"> assets held by pension trusts. Why?</w:t>
      </w:r>
    </w:p>
    <w:p w14:paraId="55D45A20" w14:textId="1D4C8426" w:rsidR="006023A5" w:rsidRPr="000605C0" w:rsidRDefault="006023A5" w:rsidP="006023A5">
      <w:pPr>
        <w:pStyle w:val="ListParagraph"/>
        <w:numPr>
          <w:ilvl w:val="2"/>
          <w:numId w:val="1"/>
        </w:numPr>
        <w:spacing w:after="200" w:line="276" w:lineRule="auto"/>
        <w:rPr>
          <w:sz w:val="28"/>
          <w:szCs w:val="28"/>
        </w:rPr>
      </w:pPr>
      <w:r w:rsidRPr="000605C0">
        <w:rPr>
          <w:sz w:val="28"/>
          <w:szCs w:val="28"/>
        </w:rPr>
        <w:t xml:space="preserve">One theory is that equities offer a risk-premium that could not be captured by investing in bonds because few high-yield bonds were issued. Now such bonds are available, yet pension trusts continue to invest a significant portion of their assets in equities. One possible explanation is that an investment manager is unlikely to be sued if an investment generates a profit even if the profit is low while investing in a risky investment that fails is almost sure to generate litigation. Now that most qualified deferred compensation is generated by defined contribution plans in which the beneficiaries maintain significant control over investment choices, we should see a switch to high-yield bonds (which has occurred), and perhaps the current equity share can be explained by lack of sophistication by the beneficiaries or lack of choice given to the beneficiaries by the plan sponsor (i.e., the employer). Why would a plan sponsor limit investment </w:t>
      </w:r>
      <w:proofErr w:type="gramStart"/>
      <w:r w:rsidRPr="000605C0">
        <w:rPr>
          <w:sz w:val="28"/>
          <w:szCs w:val="28"/>
        </w:rPr>
        <w:t>opportunities</w:t>
      </w:r>
      <w:proofErr w:type="gramEnd"/>
      <w:r w:rsidRPr="000605C0">
        <w:rPr>
          <w:sz w:val="28"/>
          <w:szCs w:val="28"/>
        </w:rPr>
        <w:t>?</w:t>
      </w:r>
    </w:p>
    <w:p w14:paraId="21FFA5AC" w14:textId="3765345A" w:rsidR="009F7F9C" w:rsidRPr="000605C0" w:rsidRDefault="00E2432E" w:rsidP="009F7F9C">
      <w:pPr>
        <w:pStyle w:val="ListParagraph"/>
        <w:numPr>
          <w:ilvl w:val="2"/>
          <w:numId w:val="1"/>
        </w:numPr>
        <w:spacing w:after="200" w:line="276" w:lineRule="auto"/>
        <w:rPr>
          <w:sz w:val="28"/>
          <w:szCs w:val="28"/>
        </w:rPr>
      </w:pPr>
      <w:r w:rsidRPr="000605C0">
        <w:rPr>
          <w:sz w:val="28"/>
          <w:szCs w:val="28"/>
        </w:rPr>
        <w:lastRenderedPageBreak/>
        <w:t xml:space="preserve">The Black-Tepper Tax Arbitrage Strategy: </w:t>
      </w:r>
      <w:r w:rsidR="00AC0C2C" w:rsidRPr="000605C0">
        <w:rPr>
          <w:sz w:val="28"/>
          <w:szCs w:val="28"/>
        </w:rPr>
        <w:t xml:space="preserve">For a taxable employer who offers a defined </w:t>
      </w:r>
      <w:r w:rsidR="00AC0C2C" w:rsidRPr="000A4BE3">
        <w:rPr>
          <w:i/>
          <w:iCs/>
          <w:sz w:val="28"/>
          <w:szCs w:val="28"/>
        </w:rPr>
        <w:t>benefit</w:t>
      </w:r>
      <w:r w:rsidR="00AC0C2C" w:rsidRPr="000605C0">
        <w:rPr>
          <w:sz w:val="28"/>
          <w:szCs w:val="28"/>
        </w:rPr>
        <w:t xml:space="preserve"> retirement </w:t>
      </w:r>
      <w:r w:rsidR="000A4BE3">
        <w:rPr>
          <w:sz w:val="28"/>
          <w:szCs w:val="28"/>
        </w:rPr>
        <w:t>plan to</w:t>
      </w:r>
      <w:r w:rsidR="00AC0C2C" w:rsidRPr="000605C0">
        <w:rPr>
          <w:sz w:val="28"/>
          <w:szCs w:val="28"/>
        </w:rPr>
        <w:t xml:space="preserve"> its employees, there is the Black-Tepper organizational arbitrage strategy to improve the net return over just holding equities. First, have the pension trust invest </w:t>
      </w:r>
      <w:r w:rsidR="00165F1A" w:rsidRPr="000605C0">
        <w:rPr>
          <w:sz w:val="28"/>
          <w:szCs w:val="28"/>
        </w:rPr>
        <w:t xml:space="preserve">in </w:t>
      </w:r>
      <w:r w:rsidR="00AC0C2C" w:rsidRPr="000605C0">
        <w:rPr>
          <w:sz w:val="28"/>
          <w:szCs w:val="28"/>
        </w:rPr>
        <w:t xml:space="preserve">bonds. Second, borrow outside the pension trust and use the proceeds to purchase stock. The annual cost of the borrowing is </w:t>
      </w:r>
      <w:proofErr w:type="gramStart"/>
      <w:r w:rsidR="00AC0C2C" w:rsidRPr="000605C0">
        <w:rPr>
          <w:sz w:val="28"/>
          <w:szCs w:val="28"/>
        </w:rPr>
        <w:t>R</w:t>
      </w:r>
      <w:r w:rsidR="00AC0C2C" w:rsidRPr="000605C0">
        <w:rPr>
          <w:sz w:val="28"/>
          <w:szCs w:val="28"/>
          <w:vertAlign w:val="subscript"/>
        </w:rPr>
        <w:t>b</w:t>
      </w:r>
      <w:r w:rsidR="00AC0C2C" w:rsidRPr="000605C0">
        <w:rPr>
          <w:sz w:val="28"/>
          <w:szCs w:val="28"/>
        </w:rPr>
        <w:t>(</w:t>
      </w:r>
      <w:proofErr w:type="gramEnd"/>
      <w:r w:rsidR="00AC0C2C" w:rsidRPr="000605C0">
        <w:rPr>
          <w:sz w:val="28"/>
          <w:szCs w:val="28"/>
        </w:rPr>
        <w:t xml:space="preserve">1 – </w:t>
      </w:r>
      <w:proofErr w:type="spellStart"/>
      <w:r w:rsidR="00AC0C2C" w:rsidRPr="000605C0">
        <w:rPr>
          <w:sz w:val="28"/>
          <w:szCs w:val="28"/>
        </w:rPr>
        <w:t>t</w:t>
      </w:r>
      <w:r w:rsidR="00AC0C2C" w:rsidRPr="000605C0">
        <w:rPr>
          <w:sz w:val="28"/>
          <w:szCs w:val="28"/>
          <w:vertAlign w:val="subscript"/>
        </w:rPr>
        <w:t>c</w:t>
      </w:r>
      <w:proofErr w:type="spellEnd"/>
      <w:r w:rsidR="00AC0C2C" w:rsidRPr="000605C0">
        <w:rPr>
          <w:sz w:val="28"/>
          <w:szCs w:val="28"/>
        </w:rPr>
        <w:t>) (assuming the corporation can borrow at the same rate it pays in interest), and the return on the purchased stock is r</w:t>
      </w:r>
      <w:r w:rsidR="00AC0C2C" w:rsidRPr="000605C0">
        <w:rPr>
          <w:sz w:val="28"/>
          <w:szCs w:val="28"/>
          <w:vertAlign w:val="superscript"/>
        </w:rPr>
        <w:t>*</w:t>
      </w:r>
      <w:r w:rsidR="00AC0C2C" w:rsidRPr="000605C0">
        <w:rPr>
          <w:sz w:val="28"/>
          <w:szCs w:val="28"/>
          <w:vertAlign w:val="subscript"/>
        </w:rPr>
        <w:t>c</w:t>
      </w:r>
      <w:r w:rsidR="00AC0C2C" w:rsidRPr="000605C0">
        <w:rPr>
          <w:sz w:val="28"/>
          <w:szCs w:val="28"/>
        </w:rPr>
        <w:t xml:space="preserve">. Thus, the net annual return </w:t>
      </w:r>
      <w:r w:rsidR="00F52F54" w:rsidRPr="000605C0">
        <w:rPr>
          <w:sz w:val="28"/>
          <w:szCs w:val="28"/>
        </w:rPr>
        <w:t xml:space="preserve">outside the pension trust </w:t>
      </w:r>
      <w:r w:rsidR="00AC0C2C" w:rsidRPr="000605C0">
        <w:rPr>
          <w:sz w:val="28"/>
          <w:szCs w:val="28"/>
        </w:rPr>
        <w:t>equals r</w:t>
      </w:r>
      <w:r w:rsidR="00AC0C2C" w:rsidRPr="000605C0">
        <w:rPr>
          <w:sz w:val="28"/>
          <w:szCs w:val="28"/>
          <w:vertAlign w:val="superscript"/>
        </w:rPr>
        <w:t>*</w:t>
      </w:r>
      <w:r w:rsidR="00AC0C2C" w:rsidRPr="000605C0">
        <w:rPr>
          <w:sz w:val="28"/>
          <w:szCs w:val="28"/>
          <w:vertAlign w:val="subscript"/>
        </w:rPr>
        <w:t>c</w:t>
      </w:r>
      <w:r w:rsidR="00AC0C2C" w:rsidRPr="000605C0">
        <w:rPr>
          <w:sz w:val="28"/>
          <w:szCs w:val="28"/>
        </w:rPr>
        <w:t xml:space="preserve"> – </w:t>
      </w:r>
      <w:proofErr w:type="gramStart"/>
      <w:r w:rsidR="00AC0C2C" w:rsidRPr="000605C0">
        <w:rPr>
          <w:sz w:val="28"/>
          <w:szCs w:val="28"/>
        </w:rPr>
        <w:t>R</w:t>
      </w:r>
      <w:r w:rsidR="00AC0C2C" w:rsidRPr="000605C0">
        <w:rPr>
          <w:sz w:val="28"/>
          <w:szCs w:val="28"/>
          <w:vertAlign w:val="subscript"/>
        </w:rPr>
        <w:t>b</w:t>
      </w:r>
      <w:r w:rsidR="00AC0C2C" w:rsidRPr="000605C0">
        <w:rPr>
          <w:sz w:val="28"/>
          <w:szCs w:val="28"/>
        </w:rPr>
        <w:t>(</w:t>
      </w:r>
      <w:proofErr w:type="gramEnd"/>
      <w:r w:rsidR="00AC0C2C" w:rsidRPr="000605C0">
        <w:rPr>
          <w:sz w:val="28"/>
          <w:szCs w:val="28"/>
        </w:rPr>
        <w:t xml:space="preserve">1 – </w:t>
      </w:r>
      <w:proofErr w:type="spellStart"/>
      <w:r w:rsidR="00AC0C2C" w:rsidRPr="000605C0">
        <w:rPr>
          <w:sz w:val="28"/>
          <w:szCs w:val="28"/>
        </w:rPr>
        <w:t>t</w:t>
      </w:r>
      <w:r w:rsidR="00AC0C2C" w:rsidRPr="000605C0">
        <w:rPr>
          <w:sz w:val="28"/>
          <w:szCs w:val="28"/>
          <w:vertAlign w:val="subscript"/>
        </w:rPr>
        <w:t>c</w:t>
      </w:r>
      <w:proofErr w:type="spellEnd"/>
      <w:r w:rsidR="00AC0C2C" w:rsidRPr="000605C0">
        <w:rPr>
          <w:sz w:val="28"/>
          <w:szCs w:val="28"/>
        </w:rPr>
        <w:t>). The annual return inside the pension trust equals R</w:t>
      </w:r>
      <w:r w:rsidR="00AC0C2C" w:rsidRPr="000605C0">
        <w:rPr>
          <w:sz w:val="28"/>
          <w:szCs w:val="28"/>
          <w:vertAlign w:val="subscript"/>
        </w:rPr>
        <w:t>b</w:t>
      </w:r>
      <w:r w:rsidR="00AC0C2C" w:rsidRPr="000605C0">
        <w:rPr>
          <w:sz w:val="28"/>
          <w:szCs w:val="28"/>
        </w:rPr>
        <w:t>. Thus, the combined return equals r</w:t>
      </w:r>
      <w:r w:rsidR="00AC0C2C" w:rsidRPr="000605C0">
        <w:rPr>
          <w:sz w:val="28"/>
          <w:szCs w:val="28"/>
          <w:vertAlign w:val="superscript"/>
        </w:rPr>
        <w:t>*</w:t>
      </w:r>
      <w:r w:rsidR="00AC0C2C" w:rsidRPr="000605C0">
        <w:rPr>
          <w:sz w:val="28"/>
          <w:szCs w:val="28"/>
          <w:vertAlign w:val="subscript"/>
        </w:rPr>
        <w:t>c</w:t>
      </w:r>
      <w:r w:rsidR="00AC0C2C" w:rsidRPr="000605C0">
        <w:rPr>
          <w:sz w:val="28"/>
          <w:szCs w:val="28"/>
        </w:rPr>
        <w:t xml:space="preserve"> + </w:t>
      </w:r>
      <w:proofErr w:type="spellStart"/>
      <w:r w:rsidR="00AC0C2C" w:rsidRPr="000605C0">
        <w:rPr>
          <w:sz w:val="28"/>
          <w:szCs w:val="28"/>
        </w:rPr>
        <w:t>R</w:t>
      </w:r>
      <w:r w:rsidR="00AC0C2C" w:rsidRPr="000605C0">
        <w:rPr>
          <w:sz w:val="28"/>
          <w:szCs w:val="28"/>
          <w:vertAlign w:val="subscript"/>
        </w:rPr>
        <w:t>b</w:t>
      </w:r>
      <w:r w:rsidR="00AC0C2C" w:rsidRPr="000605C0">
        <w:rPr>
          <w:sz w:val="28"/>
          <w:szCs w:val="28"/>
        </w:rPr>
        <w:t>t</w:t>
      </w:r>
      <w:r w:rsidR="00AC0C2C" w:rsidRPr="000605C0">
        <w:rPr>
          <w:sz w:val="28"/>
          <w:szCs w:val="28"/>
          <w:vertAlign w:val="subscript"/>
        </w:rPr>
        <w:t>c</w:t>
      </w:r>
      <w:proofErr w:type="spellEnd"/>
      <w:r w:rsidR="00AC0C2C" w:rsidRPr="000605C0">
        <w:rPr>
          <w:sz w:val="28"/>
          <w:szCs w:val="28"/>
        </w:rPr>
        <w:t xml:space="preserve">, and that exceeds the after-tax return from the equity-only investment </w:t>
      </w:r>
      <w:r w:rsidR="004A3536" w:rsidRPr="000605C0">
        <w:rPr>
          <w:sz w:val="28"/>
          <w:szCs w:val="28"/>
        </w:rPr>
        <w:t xml:space="preserve">of </w:t>
      </w:r>
      <w:r w:rsidR="00AC0C2C" w:rsidRPr="000605C0">
        <w:rPr>
          <w:sz w:val="28"/>
          <w:szCs w:val="28"/>
        </w:rPr>
        <w:t>r</w:t>
      </w:r>
      <w:r w:rsidR="00AC0C2C" w:rsidRPr="000605C0">
        <w:rPr>
          <w:sz w:val="28"/>
          <w:szCs w:val="28"/>
          <w:vertAlign w:val="superscript"/>
        </w:rPr>
        <w:t>*</w:t>
      </w:r>
      <w:r w:rsidR="00AC0C2C" w:rsidRPr="000605C0">
        <w:rPr>
          <w:sz w:val="28"/>
          <w:szCs w:val="28"/>
          <w:vertAlign w:val="subscript"/>
        </w:rPr>
        <w:t>c</w:t>
      </w:r>
      <w:r w:rsidR="00AC0C2C" w:rsidRPr="000605C0">
        <w:rPr>
          <w:sz w:val="28"/>
          <w:szCs w:val="28"/>
        </w:rPr>
        <w:t xml:space="preserve"> by </w:t>
      </w:r>
      <w:proofErr w:type="spellStart"/>
      <w:r w:rsidR="00AC0C2C" w:rsidRPr="000605C0">
        <w:rPr>
          <w:sz w:val="28"/>
          <w:szCs w:val="28"/>
        </w:rPr>
        <w:t>R</w:t>
      </w:r>
      <w:r w:rsidR="00AC0C2C" w:rsidRPr="000605C0">
        <w:rPr>
          <w:sz w:val="28"/>
          <w:szCs w:val="28"/>
          <w:vertAlign w:val="subscript"/>
        </w:rPr>
        <w:t>b</w:t>
      </w:r>
      <w:r w:rsidR="00AC0C2C" w:rsidRPr="000605C0">
        <w:rPr>
          <w:sz w:val="28"/>
          <w:szCs w:val="28"/>
        </w:rPr>
        <w:t>t</w:t>
      </w:r>
      <w:r w:rsidR="00AC0C2C" w:rsidRPr="000605C0">
        <w:rPr>
          <w:sz w:val="28"/>
          <w:szCs w:val="28"/>
          <w:vertAlign w:val="subscript"/>
        </w:rPr>
        <w:t>c</w:t>
      </w:r>
      <w:proofErr w:type="spellEnd"/>
      <w:r w:rsidR="004A3536" w:rsidRPr="000605C0">
        <w:rPr>
          <w:sz w:val="28"/>
          <w:szCs w:val="28"/>
          <w:vertAlign w:val="subscript"/>
        </w:rPr>
        <w:t xml:space="preserve"> </w:t>
      </w:r>
      <w:r w:rsidR="004A3536" w:rsidRPr="000605C0">
        <w:rPr>
          <w:i/>
          <w:iCs/>
          <w:sz w:val="28"/>
          <w:szCs w:val="28"/>
        </w:rPr>
        <w:t>independent of the return on the equities</w:t>
      </w:r>
      <w:r w:rsidR="004A3536" w:rsidRPr="000605C0">
        <w:rPr>
          <w:sz w:val="28"/>
          <w:szCs w:val="28"/>
        </w:rPr>
        <w:t xml:space="preserve">. Note that this works only if the employer can </w:t>
      </w:r>
      <w:r w:rsidR="00B46B32" w:rsidRPr="000605C0">
        <w:rPr>
          <w:sz w:val="28"/>
          <w:szCs w:val="28"/>
        </w:rPr>
        <w:t>capture</w:t>
      </w:r>
      <w:r w:rsidR="004A3536" w:rsidRPr="000605C0">
        <w:rPr>
          <w:sz w:val="28"/>
          <w:szCs w:val="28"/>
        </w:rPr>
        <w:t xml:space="preserve"> the benefit of the higher return through reduced future pension contributions and so is limited to defined </w:t>
      </w:r>
      <w:r w:rsidR="004A3536" w:rsidRPr="000605C0">
        <w:rPr>
          <w:i/>
          <w:iCs/>
          <w:sz w:val="28"/>
          <w:szCs w:val="28"/>
        </w:rPr>
        <w:t>benefit</w:t>
      </w:r>
      <w:r w:rsidR="004A3536" w:rsidRPr="000605C0">
        <w:rPr>
          <w:sz w:val="28"/>
          <w:szCs w:val="28"/>
        </w:rPr>
        <w:t xml:space="preserve"> plans.</w:t>
      </w:r>
    </w:p>
    <w:p w14:paraId="14ADC0E2" w14:textId="2DFFD154" w:rsidR="004953C2" w:rsidRPr="000605C0" w:rsidRDefault="004953C2" w:rsidP="00EE473C">
      <w:pPr>
        <w:pStyle w:val="ListParagraph"/>
        <w:numPr>
          <w:ilvl w:val="1"/>
          <w:numId w:val="1"/>
        </w:numPr>
        <w:spacing w:after="200" w:line="276" w:lineRule="auto"/>
        <w:rPr>
          <w:sz w:val="28"/>
          <w:szCs w:val="28"/>
        </w:rPr>
      </w:pPr>
      <w:r w:rsidRPr="000605C0">
        <w:rPr>
          <w:sz w:val="28"/>
          <w:szCs w:val="28"/>
        </w:rPr>
        <w:t>Does It Pay to Maintain an Overfunded Pension Plan [omitted]</w:t>
      </w:r>
    </w:p>
    <w:p w14:paraId="4A0E5064" w14:textId="4A74A88F" w:rsidR="004953C2" w:rsidRPr="000605C0" w:rsidRDefault="004953C2" w:rsidP="00EE473C">
      <w:pPr>
        <w:pStyle w:val="ListParagraph"/>
        <w:numPr>
          <w:ilvl w:val="1"/>
          <w:numId w:val="1"/>
        </w:numPr>
        <w:spacing w:after="200" w:line="276" w:lineRule="auto"/>
        <w:rPr>
          <w:sz w:val="28"/>
          <w:szCs w:val="28"/>
        </w:rPr>
      </w:pPr>
      <w:r w:rsidRPr="000605C0">
        <w:rPr>
          <w:sz w:val="28"/>
          <w:szCs w:val="28"/>
        </w:rPr>
        <w:t>Funding Post-Employment Health Care Benefits</w:t>
      </w:r>
      <w:r w:rsidR="00B43CD3" w:rsidRPr="000605C0">
        <w:rPr>
          <w:sz w:val="28"/>
          <w:szCs w:val="28"/>
        </w:rPr>
        <w:t>: In general, an employer can pay for employee health benefits in one of two ways: (1) increase tax-preferred pension benefits and tell employees to pay their own health care costs; or (2) pay health care costs as they are incurred by the employees (essentially self-insurance from the employer’s perspective).</w:t>
      </w:r>
    </w:p>
    <w:p w14:paraId="05DF5D68" w14:textId="1489D7FD" w:rsidR="004953C2" w:rsidRPr="000605C0" w:rsidRDefault="004953C2" w:rsidP="004953C2">
      <w:pPr>
        <w:pStyle w:val="ListParagraph"/>
        <w:numPr>
          <w:ilvl w:val="2"/>
          <w:numId w:val="1"/>
        </w:numPr>
        <w:spacing w:after="200" w:line="276" w:lineRule="auto"/>
        <w:rPr>
          <w:sz w:val="28"/>
          <w:szCs w:val="28"/>
        </w:rPr>
      </w:pPr>
      <w:r w:rsidRPr="000605C0">
        <w:rPr>
          <w:sz w:val="28"/>
          <w:szCs w:val="28"/>
        </w:rPr>
        <w:t>The Sweetened Pension Benefit Approach</w:t>
      </w:r>
      <w:r w:rsidR="00FC2640" w:rsidRPr="000605C0">
        <w:rPr>
          <w:sz w:val="28"/>
          <w:szCs w:val="28"/>
        </w:rPr>
        <w:t>: If the employee will pay health care costs out of taxable pension distributions, a future dollar of health care will require 1</w:t>
      </w:r>
      <w:proofErr w:type="gramStart"/>
      <w:r w:rsidR="00FC2640" w:rsidRPr="000605C0">
        <w:rPr>
          <w:sz w:val="28"/>
          <w:szCs w:val="28"/>
        </w:rPr>
        <w:t>/(</w:t>
      </w:r>
      <w:proofErr w:type="gramEnd"/>
      <w:r w:rsidR="00FC2640" w:rsidRPr="000605C0">
        <w:rPr>
          <w:sz w:val="28"/>
          <w:szCs w:val="28"/>
        </w:rPr>
        <w:t xml:space="preserve">1 – </w:t>
      </w:r>
      <w:proofErr w:type="spellStart"/>
      <w:r w:rsidR="00FC2640" w:rsidRPr="000605C0">
        <w:rPr>
          <w:sz w:val="28"/>
          <w:szCs w:val="28"/>
        </w:rPr>
        <w:t>t</w:t>
      </w:r>
      <w:r w:rsidR="00FC2640" w:rsidRPr="000605C0">
        <w:rPr>
          <w:sz w:val="28"/>
          <w:szCs w:val="28"/>
          <w:vertAlign w:val="subscript"/>
        </w:rPr>
        <w:t>pn</w:t>
      </w:r>
      <w:proofErr w:type="spellEnd"/>
      <w:r w:rsidR="00FC2640" w:rsidRPr="000605C0">
        <w:rPr>
          <w:sz w:val="28"/>
          <w:szCs w:val="28"/>
        </w:rPr>
        <w:t>) dollars of distribution. To fund that amount, the employer must contribute 1</w:t>
      </w:r>
      <w:proofErr w:type="gramStart"/>
      <w:r w:rsidR="00FC2640" w:rsidRPr="000605C0">
        <w:rPr>
          <w:sz w:val="28"/>
          <w:szCs w:val="28"/>
        </w:rPr>
        <w:t>/(</w:t>
      </w:r>
      <w:proofErr w:type="gramEnd"/>
      <w:r w:rsidR="00FC2640" w:rsidRPr="000605C0">
        <w:rPr>
          <w:sz w:val="28"/>
          <w:szCs w:val="28"/>
        </w:rPr>
        <w:t xml:space="preserve">1 – </w:t>
      </w:r>
      <w:proofErr w:type="spellStart"/>
      <w:r w:rsidR="00FC2640" w:rsidRPr="000605C0">
        <w:rPr>
          <w:sz w:val="28"/>
          <w:szCs w:val="28"/>
        </w:rPr>
        <w:t>t</w:t>
      </w:r>
      <w:r w:rsidR="00FC2640" w:rsidRPr="000605C0">
        <w:rPr>
          <w:sz w:val="28"/>
          <w:szCs w:val="28"/>
          <w:vertAlign w:val="subscript"/>
        </w:rPr>
        <w:t>pn</w:t>
      </w:r>
      <w:proofErr w:type="spellEnd"/>
      <w:r w:rsidR="00FC2640" w:rsidRPr="000605C0">
        <w:rPr>
          <w:sz w:val="28"/>
          <w:szCs w:val="28"/>
        </w:rPr>
        <w:t xml:space="preserve">) times 1/( 1 + </w:t>
      </w:r>
      <w:proofErr w:type="spellStart"/>
      <w:r w:rsidR="00FC2640" w:rsidRPr="000605C0">
        <w:rPr>
          <w:sz w:val="28"/>
          <w:szCs w:val="28"/>
        </w:rPr>
        <w:t>R</w:t>
      </w:r>
      <w:r w:rsidR="00FC2640" w:rsidRPr="000605C0">
        <w:rPr>
          <w:sz w:val="28"/>
          <w:szCs w:val="28"/>
          <w:vertAlign w:val="subscript"/>
        </w:rPr>
        <w:t>p</w:t>
      </w:r>
      <w:r w:rsidR="00273258" w:rsidRPr="000605C0">
        <w:rPr>
          <w:sz w:val="28"/>
          <w:szCs w:val="28"/>
          <w:vertAlign w:val="subscript"/>
        </w:rPr>
        <w:t>e</w:t>
      </w:r>
      <w:r w:rsidR="00FC2640" w:rsidRPr="000605C0">
        <w:rPr>
          <w:sz w:val="28"/>
          <w:szCs w:val="28"/>
          <w:vertAlign w:val="subscript"/>
        </w:rPr>
        <w:t>n</w:t>
      </w:r>
      <w:proofErr w:type="spellEnd"/>
      <w:r w:rsidR="00FC2640" w:rsidRPr="000605C0">
        <w:rPr>
          <w:sz w:val="28"/>
          <w:szCs w:val="28"/>
        </w:rPr>
        <w:t>)</w:t>
      </w:r>
      <w:r w:rsidR="00FC2640" w:rsidRPr="000605C0">
        <w:rPr>
          <w:sz w:val="28"/>
          <w:szCs w:val="28"/>
          <w:vertAlign w:val="superscript"/>
        </w:rPr>
        <w:t>n</w:t>
      </w:r>
      <w:r w:rsidR="00FC2640" w:rsidRPr="000605C0">
        <w:rPr>
          <w:sz w:val="28"/>
          <w:szCs w:val="28"/>
        </w:rPr>
        <w:t xml:space="preserve"> immediately. Note that 1</w:t>
      </w:r>
      <w:proofErr w:type="gramStart"/>
      <w:r w:rsidR="00FC2640" w:rsidRPr="000605C0">
        <w:rPr>
          <w:sz w:val="28"/>
          <w:szCs w:val="28"/>
        </w:rPr>
        <w:t>/(</w:t>
      </w:r>
      <w:proofErr w:type="gramEnd"/>
      <w:r w:rsidR="00FC2640" w:rsidRPr="000605C0">
        <w:rPr>
          <w:sz w:val="28"/>
          <w:szCs w:val="28"/>
        </w:rPr>
        <w:t xml:space="preserve">1 </w:t>
      </w:r>
      <w:r w:rsidR="006E0DF1" w:rsidRPr="000605C0">
        <w:rPr>
          <w:sz w:val="28"/>
          <w:szCs w:val="28"/>
        </w:rPr>
        <w:t>-</w:t>
      </w:r>
      <w:r w:rsidR="00FC2640" w:rsidRPr="000605C0">
        <w:rPr>
          <w:sz w:val="28"/>
          <w:szCs w:val="28"/>
        </w:rPr>
        <w:t xml:space="preserve"> </w:t>
      </w:r>
      <w:proofErr w:type="spellStart"/>
      <w:r w:rsidR="006E0DF1" w:rsidRPr="000605C0">
        <w:rPr>
          <w:sz w:val="28"/>
          <w:szCs w:val="28"/>
        </w:rPr>
        <w:t>t</w:t>
      </w:r>
      <w:r w:rsidR="006E0DF1" w:rsidRPr="000605C0">
        <w:rPr>
          <w:sz w:val="28"/>
          <w:szCs w:val="28"/>
          <w:vertAlign w:val="subscript"/>
        </w:rPr>
        <w:t>pn</w:t>
      </w:r>
      <w:proofErr w:type="spellEnd"/>
      <w:r w:rsidR="00FC2640" w:rsidRPr="000605C0">
        <w:rPr>
          <w:sz w:val="28"/>
          <w:szCs w:val="28"/>
        </w:rPr>
        <w:t xml:space="preserve">) will compound tax-free within the pension trust at a rate of </w:t>
      </w:r>
      <w:proofErr w:type="spellStart"/>
      <w:r w:rsidR="00FC2640" w:rsidRPr="000605C0">
        <w:rPr>
          <w:sz w:val="28"/>
          <w:szCs w:val="28"/>
        </w:rPr>
        <w:t>R</w:t>
      </w:r>
      <w:r w:rsidR="00FC2640" w:rsidRPr="000605C0">
        <w:rPr>
          <w:sz w:val="28"/>
          <w:szCs w:val="28"/>
          <w:vertAlign w:val="subscript"/>
        </w:rPr>
        <w:t>p</w:t>
      </w:r>
      <w:r w:rsidR="006265B7" w:rsidRPr="000605C0">
        <w:rPr>
          <w:sz w:val="28"/>
          <w:szCs w:val="28"/>
          <w:vertAlign w:val="subscript"/>
        </w:rPr>
        <w:t>e</w:t>
      </w:r>
      <w:r w:rsidR="00FC2640" w:rsidRPr="000605C0">
        <w:rPr>
          <w:sz w:val="28"/>
          <w:szCs w:val="28"/>
          <w:vertAlign w:val="subscript"/>
        </w:rPr>
        <w:t>n</w:t>
      </w:r>
      <w:proofErr w:type="spellEnd"/>
      <w:r w:rsidR="00FC2640" w:rsidRPr="000605C0">
        <w:rPr>
          <w:sz w:val="28"/>
          <w:szCs w:val="28"/>
        </w:rPr>
        <w:t xml:space="preserve"> per year, so that the investment will yield 1</w:t>
      </w:r>
      <w:r w:rsidR="006E0DF1" w:rsidRPr="000605C0">
        <w:rPr>
          <w:sz w:val="28"/>
          <w:szCs w:val="28"/>
        </w:rPr>
        <w:t>/</w:t>
      </w:r>
      <w:r w:rsidR="00FC2640" w:rsidRPr="000605C0">
        <w:rPr>
          <w:sz w:val="28"/>
          <w:szCs w:val="28"/>
        </w:rPr>
        <w:t xml:space="preserve">(1 – </w:t>
      </w:r>
      <w:proofErr w:type="spellStart"/>
      <w:r w:rsidR="00FC2640" w:rsidRPr="000605C0">
        <w:rPr>
          <w:sz w:val="28"/>
          <w:szCs w:val="28"/>
        </w:rPr>
        <w:t>t</w:t>
      </w:r>
      <w:r w:rsidR="00FC2640" w:rsidRPr="000605C0">
        <w:rPr>
          <w:sz w:val="28"/>
          <w:szCs w:val="28"/>
          <w:vertAlign w:val="subscript"/>
        </w:rPr>
        <w:t>pn</w:t>
      </w:r>
      <w:proofErr w:type="spellEnd"/>
      <w:r w:rsidR="00FC2640" w:rsidRPr="000605C0">
        <w:rPr>
          <w:sz w:val="28"/>
          <w:szCs w:val="28"/>
        </w:rPr>
        <w:t xml:space="preserve">) at the end of n years. Because this cost is deductible to the employer when made, the immediate after-tax cost of </w:t>
      </w:r>
      <w:r w:rsidR="00FC2640" w:rsidRPr="000605C0">
        <w:rPr>
          <w:sz w:val="28"/>
          <w:szCs w:val="28"/>
        </w:rPr>
        <w:lastRenderedPageBreak/>
        <w:t xml:space="preserve">funding the health care </w:t>
      </w:r>
      <w:r w:rsidR="00E63AB6" w:rsidRPr="000605C0">
        <w:rPr>
          <w:sz w:val="28"/>
          <w:szCs w:val="28"/>
        </w:rPr>
        <w:t xml:space="preserve">with </w:t>
      </w:r>
      <w:r w:rsidR="00FC2640" w:rsidRPr="000605C0">
        <w:rPr>
          <w:sz w:val="28"/>
          <w:szCs w:val="28"/>
        </w:rPr>
        <w:t xml:space="preserve">after-tax dollar to the employee in n years is </w:t>
      </w:r>
      <w:r w:rsidR="00FC2640" w:rsidRPr="000605C0">
        <w:rPr>
          <w:b/>
          <w:bCs/>
          <w:sz w:val="28"/>
          <w:szCs w:val="28"/>
        </w:rPr>
        <w:t>1</w:t>
      </w:r>
      <w:proofErr w:type="gramStart"/>
      <w:r w:rsidR="00056B86" w:rsidRPr="000605C0">
        <w:rPr>
          <w:b/>
          <w:bCs/>
          <w:sz w:val="28"/>
          <w:szCs w:val="28"/>
        </w:rPr>
        <w:t>/</w:t>
      </w:r>
      <w:r w:rsidR="00FC2640" w:rsidRPr="000605C0">
        <w:rPr>
          <w:b/>
          <w:bCs/>
          <w:sz w:val="28"/>
          <w:szCs w:val="28"/>
        </w:rPr>
        <w:t>(</w:t>
      </w:r>
      <w:proofErr w:type="gramEnd"/>
      <w:r w:rsidR="00FC2640" w:rsidRPr="000605C0">
        <w:rPr>
          <w:b/>
          <w:bCs/>
          <w:sz w:val="28"/>
          <w:szCs w:val="28"/>
        </w:rPr>
        <w:t xml:space="preserve">1 – </w:t>
      </w:r>
      <w:proofErr w:type="spellStart"/>
      <w:r w:rsidR="00FC2640" w:rsidRPr="000605C0">
        <w:rPr>
          <w:b/>
          <w:bCs/>
          <w:sz w:val="28"/>
          <w:szCs w:val="28"/>
        </w:rPr>
        <w:t>t</w:t>
      </w:r>
      <w:r w:rsidR="00FC2640" w:rsidRPr="000605C0">
        <w:rPr>
          <w:b/>
          <w:bCs/>
          <w:sz w:val="28"/>
          <w:szCs w:val="28"/>
          <w:vertAlign w:val="subscript"/>
        </w:rPr>
        <w:t>pn</w:t>
      </w:r>
      <w:proofErr w:type="spellEnd"/>
      <w:r w:rsidR="00FC2640" w:rsidRPr="000605C0">
        <w:rPr>
          <w:b/>
          <w:bCs/>
          <w:sz w:val="28"/>
          <w:szCs w:val="28"/>
        </w:rPr>
        <w:t xml:space="preserve">) x 1/(1 + </w:t>
      </w:r>
      <w:proofErr w:type="spellStart"/>
      <w:r w:rsidR="00FC2640" w:rsidRPr="000605C0">
        <w:rPr>
          <w:b/>
          <w:bCs/>
          <w:sz w:val="28"/>
          <w:szCs w:val="28"/>
        </w:rPr>
        <w:t>R</w:t>
      </w:r>
      <w:r w:rsidR="00FC2640" w:rsidRPr="000605C0">
        <w:rPr>
          <w:b/>
          <w:bCs/>
          <w:sz w:val="28"/>
          <w:szCs w:val="28"/>
          <w:vertAlign w:val="subscript"/>
        </w:rPr>
        <w:t>p</w:t>
      </w:r>
      <w:r w:rsidR="00273258" w:rsidRPr="000605C0">
        <w:rPr>
          <w:b/>
          <w:bCs/>
          <w:sz w:val="28"/>
          <w:szCs w:val="28"/>
          <w:vertAlign w:val="subscript"/>
        </w:rPr>
        <w:t>e</w:t>
      </w:r>
      <w:r w:rsidR="00FC2640" w:rsidRPr="000605C0">
        <w:rPr>
          <w:b/>
          <w:bCs/>
          <w:sz w:val="28"/>
          <w:szCs w:val="28"/>
          <w:vertAlign w:val="subscript"/>
        </w:rPr>
        <w:t>n</w:t>
      </w:r>
      <w:proofErr w:type="spellEnd"/>
      <w:r w:rsidR="00FC2640" w:rsidRPr="000605C0">
        <w:rPr>
          <w:b/>
          <w:bCs/>
          <w:sz w:val="28"/>
          <w:szCs w:val="28"/>
        </w:rPr>
        <w:t>) x (1 – t</w:t>
      </w:r>
      <w:r w:rsidR="00FC2640" w:rsidRPr="000605C0">
        <w:rPr>
          <w:b/>
          <w:bCs/>
          <w:sz w:val="28"/>
          <w:szCs w:val="28"/>
          <w:vertAlign w:val="subscript"/>
        </w:rPr>
        <w:t>c0</w:t>
      </w:r>
      <w:r w:rsidR="00FC2640" w:rsidRPr="000605C0">
        <w:rPr>
          <w:b/>
          <w:bCs/>
          <w:sz w:val="28"/>
          <w:szCs w:val="28"/>
        </w:rPr>
        <w:t>)</w:t>
      </w:r>
      <w:r w:rsidR="00056B86" w:rsidRPr="000605C0">
        <w:rPr>
          <w:sz w:val="28"/>
          <w:szCs w:val="28"/>
        </w:rPr>
        <w:t xml:space="preserve"> (</w:t>
      </w:r>
      <w:r w:rsidR="00056B86" w:rsidRPr="000605C0">
        <w:rPr>
          <w:b/>
          <w:bCs/>
          <w:sz w:val="28"/>
          <w:szCs w:val="28"/>
        </w:rPr>
        <w:t>equation 9.7</w:t>
      </w:r>
      <w:r w:rsidR="00056B86" w:rsidRPr="000605C0">
        <w:rPr>
          <w:sz w:val="28"/>
          <w:szCs w:val="28"/>
        </w:rPr>
        <w:t>, at page 9-16).</w:t>
      </w:r>
      <w:r w:rsidR="0054084B" w:rsidRPr="000605C0">
        <w:rPr>
          <w:sz w:val="28"/>
          <w:szCs w:val="28"/>
        </w:rPr>
        <w:t xml:space="preserve"> See example 9.1 (page 9-16) for a </w:t>
      </w:r>
      <w:r w:rsidR="00DC335B" w:rsidRPr="000605C0">
        <w:rPr>
          <w:sz w:val="28"/>
          <w:szCs w:val="28"/>
        </w:rPr>
        <w:t xml:space="preserve">nice </w:t>
      </w:r>
      <w:r w:rsidR="0054084B" w:rsidRPr="000605C0">
        <w:rPr>
          <w:sz w:val="28"/>
          <w:szCs w:val="28"/>
        </w:rPr>
        <w:t>numerical example.</w:t>
      </w:r>
    </w:p>
    <w:p w14:paraId="33B2D4AE" w14:textId="4A3DF594" w:rsidR="004953C2" w:rsidRPr="000605C0" w:rsidRDefault="004953C2" w:rsidP="004953C2">
      <w:pPr>
        <w:pStyle w:val="ListParagraph"/>
        <w:numPr>
          <w:ilvl w:val="2"/>
          <w:numId w:val="1"/>
        </w:numPr>
        <w:spacing w:after="200" w:line="276" w:lineRule="auto"/>
        <w:rPr>
          <w:sz w:val="28"/>
          <w:szCs w:val="28"/>
        </w:rPr>
      </w:pPr>
      <w:r w:rsidRPr="000605C0">
        <w:rPr>
          <w:sz w:val="28"/>
          <w:szCs w:val="28"/>
        </w:rPr>
        <w:t>The Pay-as-You-Go Approach</w:t>
      </w:r>
      <w:r w:rsidR="003C6E8B" w:rsidRPr="000605C0">
        <w:rPr>
          <w:sz w:val="28"/>
          <w:szCs w:val="28"/>
        </w:rPr>
        <w:t xml:space="preserve">: With the pay-as-you go approach, the employer gets a deduction when the payment is </w:t>
      </w:r>
      <w:proofErr w:type="gramStart"/>
      <w:r w:rsidR="003C6E8B" w:rsidRPr="000605C0">
        <w:rPr>
          <w:sz w:val="28"/>
          <w:szCs w:val="28"/>
        </w:rPr>
        <w:t>made</w:t>
      </w:r>
      <w:proofErr w:type="gramEnd"/>
      <w:r w:rsidR="003C6E8B" w:rsidRPr="000605C0">
        <w:rPr>
          <w:sz w:val="28"/>
          <w:szCs w:val="28"/>
        </w:rPr>
        <w:t xml:space="preserve"> and the employer (generally) can exclude the payment when received (because it qualifies as a tax-free fringe benefit). Because the employee is not taxed on the receipt, the employer need only pay one dollar for each one dollar needed by the employee. To fund this amount in n years, the employer must immediately invest 1</w:t>
      </w:r>
      <w:proofErr w:type="gramStart"/>
      <w:r w:rsidR="003C6E8B" w:rsidRPr="000605C0">
        <w:rPr>
          <w:sz w:val="28"/>
          <w:szCs w:val="28"/>
        </w:rPr>
        <w:t>/(</w:t>
      </w:r>
      <w:proofErr w:type="gramEnd"/>
      <w:r w:rsidR="003C6E8B" w:rsidRPr="000605C0">
        <w:rPr>
          <w:sz w:val="28"/>
          <w:szCs w:val="28"/>
        </w:rPr>
        <w:t xml:space="preserve">1 + </w:t>
      </w:r>
      <w:proofErr w:type="spellStart"/>
      <w:r w:rsidR="003C6E8B" w:rsidRPr="000605C0">
        <w:rPr>
          <w:sz w:val="28"/>
          <w:szCs w:val="28"/>
        </w:rPr>
        <w:t>r</w:t>
      </w:r>
      <w:r w:rsidR="003C6E8B" w:rsidRPr="000605C0">
        <w:rPr>
          <w:sz w:val="28"/>
          <w:szCs w:val="28"/>
          <w:vertAlign w:val="subscript"/>
        </w:rPr>
        <w:t>c</w:t>
      </w:r>
      <w:proofErr w:type="spellEnd"/>
      <w:r w:rsidR="003C6E8B" w:rsidRPr="000605C0">
        <w:rPr>
          <w:sz w:val="28"/>
          <w:szCs w:val="28"/>
        </w:rPr>
        <w:t>)</w:t>
      </w:r>
      <w:r w:rsidR="003C6E8B" w:rsidRPr="000605C0">
        <w:rPr>
          <w:sz w:val="28"/>
          <w:szCs w:val="28"/>
          <w:vertAlign w:val="superscript"/>
        </w:rPr>
        <w:t>n</w:t>
      </w:r>
      <w:r w:rsidR="003C6E8B" w:rsidRPr="000605C0">
        <w:rPr>
          <w:sz w:val="28"/>
          <w:szCs w:val="28"/>
        </w:rPr>
        <w:t xml:space="preserve">. Further, because the employer will be entitled to deduct the payment when made, the future after-tax cost is only (1 – </w:t>
      </w:r>
      <w:proofErr w:type="spellStart"/>
      <w:r w:rsidR="003C6E8B" w:rsidRPr="000605C0">
        <w:rPr>
          <w:sz w:val="28"/>
          <w:szCs w:val="28"/>
        </w:rPr>
        <w:t>t</w:t>
      </w:r>
      <w:r w:rsidR="003C6E8B" w:rsidRPr="000605C0">
        <w:rPr>
          <w:sz w:val="28"/>
          <w:szCs w:val="28"/>
          <w:vertAlign w:val="subscript"/>
        </w:rPr>
        <w:t>cn</w:t>
      </w:r>
      <w:proofErr w:type="spellEnd"/>
      <w:r w:rsidR="003C6E8B" w:rsidRPr="000605C0">
        <w:rPr>
          <w:sz w:val="28"/>
          <w:szCs w:val="28"/>
        </w:rPr>
        <w:t xml:space="preserve">). Accordingly, the amount that must be reserved immediately to fund the future payment is (1 – </w:t>
      </w:r>
      <w:proofErr w:type="spellStart"/>
      <w:r w:rsidR="003C6E8B" w:rsidRPr="000605C0">
        <w:rPr>
          <w:sz w:val="28"/>
          <w:szCs w:val="28"/>
        </w:rPr>
        <w:t>t</w:t>
      </w:r>
      <w:r w:rsidR="003C6E8B" w:rsidRPr="000605C0">
        <w:rPr>
          <w:sz w:val="28"/>
          <w:szCs w:val="28"/>
          <w:vertAlign w:val="subscript"/>
        </w:rPr>
        <w:t>cn</w:t>
      </w:r>
      <w:proofErr w:type="spellEnd"/>
      <w:r w:rsidR="003C6E8B" w:rsidRPr="000605C0">
        <w:rPr>
          <w:sz w:val="28"/>
          <w:szCs w:val="28"/>
        </w:rPr>
        <w:t>)</w:t>
      </w:r>
      <w:proofErr w:type="gramStart"/>
      <w:r w:rsidR="003C6E8B" w:rsidRPr="000605C0">
        <w:rPr>
          <w:sz w:val="28"/>
          <w:szCs w:val="28"/>
        </w:rPr>
        <w:t>/(</w:t>
      </w:r>
      <w:proofErr w:type="gramEnd"/>
      <w:r w:rsidR="003C6E8B" w:rsidRPr="000605C0">
        <w:rPr>
          <w:sz w:val="28"/>
          <w:szCs w:val="28"/>
        </w:rPr>
        <w:t xml:space="preserve">1 + </w:t>
      </w:r>
      <w:proofErr w:type="spellStart"/>
      <w:r w:rsidR="003C6E8B" w:rsidRPr="000605C0">
        <w:rPr>
          <w:sz w:val="28"/>
          <w:szCs w:val="28"/>
        </w:rPr>
        <w:t>r</w:t>
      </w:r>
      <w:r w:rsidR="003C6E8B" w:rsidRPr="000605C0">
        <w:rPr>
          <w:sz w:val="28"/>
          <w:szCs w:val="28"/>
          <w:vertAlign w:val="subscript"/>
        </w:rPr>
        <w:t>c</w:t>
      </w:r>
      <w:proofErr w:type="spellEnd"/>
      <w:r w:rsidR="003C6E8B" w:rsidRPr="000605C0">
        <w:rPr>
          <w:sz w:val="28"/>
          <w:szCs w:val="28"/>
        </w:rPr>
        <w:t>)</w:t>
      </w:r>
      <w:r w:rsidR="003C6E8B" w:rsidRPr="000605C0">
        <w:rPr>
          <w:sz w:val="28"/>
          <w:szCs w:val="28"/>
          <w:vertAlign w:val="superscript"/>
        </w:rPr>
        <w:t>n</w:t>
      </w:r>
      <w:r w:rsidR="00E75CB2" w:rsidRPr="000605C0">
        <w:rPr>
          <w:sz w:val="28"/>
          <w:szCs w:val="28"/>
          <w:vertAlign w:val="superscript"/>
        </w:rPr>
        <w:t xml:space="preserve"> </w:t>
      </w:r>
      <w:r w:rsidR="00E75CB2" w:rsidRPr="000605C0">
        <w:rPr>
          <w:sz w:val="28"/>
          <w:szCs w:val="28"/>
        </w:rPr>
        <w:t>(</w:t>
      </w:r>
      <w:r w:rsidR="00E75CB2" w:rsidRPr="000605C0">
        <w:rPr>
          <w:b/>
          <w:bCs/>
          <w:sz w:val="28"/>
          <w:szCs w:val="28"/>
        </w:rPr>
        <w:t>equation 9.8</w:t>
      </w:r>
      <w:r w:rsidR="00E75CB2" w:rsidRPr="000605C0">
        <w:rPr>
          <w:sz w:val="28"/>
          <w:szCs w:val="28"/>
        </w:rPr>
        <w:t>, at page 9-16)</w:t>
      </w:r>
      <w:r w:rsidR="003C6E8B" w:rsidRPr="000605C0">
        <w:rPr>
          <w:sz w:val="28"/>
          <w:szCs w:val="28"/>
        </w:rPr>
        <w:t>.</w:t>
      </w:r>
      <w:r w:rsidR="007D7589" w:rsidRPr="000605C0">
        <w:rPr>
          <w:sz w:val="28"/>
          <w:szCs w:val="28"/>
        </w:rPr>
        <w:t xml:space="preserve"> From </w:t>
      </w:r>
      <w:r w:rsidR="007D7589" w:rsidRPr="000605C0">
        <w:rPr>
          <w:b/>
          <w:bCs/>
          <w:sz w:val="28"/>
          <w:szCs w:val="28"/>
        </w:rPr>
        <w:t>equation 9.10</w:t>
      </w:r>
      <w:r w:rsidR="007D7589" w:rsidRPr="000605C0">
        <w:rPr>
          <w:sz w:val="28"/>
          <w:szCs w:val="28"/>
        </w:rPr>
        <w:t xml:space="preserve"> (page 9-17), we </w:t>
      </w:r>
      <w:r w:rsidR="00AD4887" w:rsidRPr="000605C0">
        <w:rPr>
          <w:sz w:val="28"/>
          <w:szCs w:val="28"/>
        </w:rPr>
        <w:t xml:space="preserve">see that the </w:t>
      </w:r>
      <w:r w:rsidR="00DA2AB4" w:rsidRPr="000605C0">
        <w:rPr>
          <w:sz w:val="28"/>
          <w:szCs w:val="28"/>
        </w:rPr>
        <w:t xml:space="preserve">pay-as-you go approach will be superior if (1) the employer’s tax rates are constant and (2) </w:t>
      </w:r>
      <w:proofErr w:type="spellStart"/>
      <w:r w:rsidR="00DA2AB4" w:rsidRPr="000605C0">
        <w:rPr>
          <w:sz w:val="28"/>
          <w:szCs w:val="28"/>
        </w:rPr>
        <w:t>r</w:t>
      </w:r>
      <w:r w:rsidR="00DA2AB4" w:rsidRPr="000605C0">
        <w:rPr>
          <w:sz w:val="28"/>
          <w:szCs w:val="28"/>
          <w:vertAlign w:val="subscript"/>
        </w:rPr>
        <w:t>c</w:t>
      </w:r>
      <w:proofErr w:type="spellEnd"/>
      <w:r w:rsidR="00DA2AB4" w:rsidRPr="000605C0">
        <w:rPr>
          <w:sz w:val="28"/>
          <w:szCs w:val="28"/>
        </w:rPr>
        <w:t xml:space="preserve"> = </w:t>
      </w:r>
      <w:proofErr w:type="spellStart"/>
      <w:r w:rsidR="00DA2AB4" w:rsidRPr="000605C0">
        <w:rPr>
          <w:sz w:val="28"/>
          <w:szCs w:val="28"/>
        </w:rPr>
        <w:t>R</w:t>
      </w:r>
      <w:r w:rsidR="00DA2AB4" w:rsidRPr="000605C0">
        <w:rPr>
          <w:sz w:val="28"/>
          <w:szCs w:val="28"/>
          <w:vertAlign w:val="subscript"/>
        </w:rPr>
        <w:t>pn</w:t>
      </w:r>
      <w:proofErr w:type="spellEnd"/>
      <w:r w:rsidR="00DA2AB4" w:rsidRPr="000605C0">
        <w:rPr>
          <w:sz w:val="28"/>
          <w:szCs w:val="28"/>
        </w:rPr>
        <w:t>. The second condition is problematic: why would an after-tax rate of return (</w:t>
      </w:r>
      <w:proofErr w:type="spellStart"/>
      <w:r w:rsidR="00DA2AB4" w:rsidRPr="000605C0">
        <w:rPr>
          <w:sz w:val="28"/>
          <w:szCs w:val="28"/>
        </w:rPr>
        <w:t>r</w:t>
      </w:r>
      <w:r w:rsidR="00DA2AB4" w:rsidRPr="000605C0">
        <w:rPr>
          <w:sz w:val="28"/>
          <w:szCs w:val="28"/>
          <w:vertAlign w:val="subscript"/>
        </w:rPr>
        <w:t>c</w:t>
      </w:r>
      <w:proofErr w:type="spellEnd"/>
      <w:r w:rsidR="00DA2AB4" w:rsidRPr="000605C0">
        <w:rPr>
          <w:sz w:val="28"/>
          <w:szCs w:val="28"/>
        </w:rPr>
        <w:t>) equal a pre-tax rate of return (</w:t>
      </w:r>
      <w:proofErr w:type="spellStart"/>
      <w:r w:rsidR="00DA2AB4" w:rsidRPr="000605C0">
        <w:rPr>
          <w:sz w:val="28"/>
          <w:szCs w:val="28"/>
        </w:rPr>
        <w:t>R</w:t>
      </w:r>
      <w:r w:rsidR="00DA2AB4" w:rsidRPr="000605C0">
        <w:rPr>
          <w:sz w:val="28"/>
          <w:szCs w:val="28"/>
          <w:vertAlign w:val="subscript"/>
        </w:rPr>
        <w:t>pn</w:t>
      </w:r>
      <w:proofErr w:type="spellEnd"/>
      <w:r w:rsidR="00DA2AB4" w:rsidRPr="000605C0">
        <w:rPr>
          <w:sz w:val="28"/>
          <w:szCs w:val="28"/>
        </w:rPr>
        <w:t>)? The most obvious case is when the employer is a tax-exempt organization such as an educational institution or other charity.</w:t>
      </w:r>
    </w:p>
    <w:p w14:paraId="60D2DBDD" w14:textId="0D80BA06" w:rsidR="00612CDF" w:rsidRPr="000605C0" w:rsidRDefault="00612CDF" w:rsidP="00612CDF">
      <w:pPr>
        <w:pStyle w:val="ListParagraph"/>
        <w:numPr>
          <w:ilvl w:val="1"/>
          <w:numId w:val="1"/>
        </w:numPr>
        <w:spacing w:after="200" w:line="276" w:lineRule="auto"/>
        <w:rPr>
          <w:sz w:val="28"/>
          <w:szCs w:val="28"/>
        </w:rPr>
      </w:pPr>
      <w:r w:rsidRPr="000605C0">
        <w:rPr>
          <w:sz w:val="28"/>
          <w:szCs w:val="28"/>
        </w:rPr>
        <w:t>Employee Stock-Ownership Programs</w:t>
      </w:r>
      <w:r w:rsidR="009D6328" w:rsidRPr="000605C0">
        <w:rPr>
          <w:sz w:val="28"/>
          <w:szCs w:val="28"/>
        </w:rPr>
        <w:t xml:space="preserve">: An ESOP is a type of qualified pension plan, a defined contribution plan in which the employer’s cash contributions must be converted into employer stock. (Employer contributions also can be made directly in its own stock.) They were created to better align employee’s economic interests with those of their employers, but the downside of an ESOP is that a significant downturn in the employer’s business risks the employee’s job as well retirement. ESOPs have been used </w:t>
      </w:r>
      <w:proofErr w:type="gramStart"/>
      <w:r w:rsidR="009D6328" w:rsidRPr="000605C0">
        <w:rPr>
          <w:sz w:val="28"/>
          <w:szCs w:val="28"/>
        </w:rPr>
        <w:t>as a way to</w:t>
      </w:r>
      <w:proofErr w:type="gramEnd"/>
      <w:r w:rsidR="009D6328" w:rsidRPr="000605C0">
        <w:rPr>
          <w:sz w:val="28"/>
          <w:szCs w:val="28"/>
        </w:rPr>
        <w:t xml:space="preserve"> thwart hostile takeovers because employee managers of the ESOP generally </w:t>
      </w:r>
      <w:r w:rsidR="009D6328" w:rsidRPr="000605C0">
        <w:rPr>
          <w:sz w:val="28"/>
          <w:szCs w:val="28"/>
        </w:rPr>
        <w:lastRenderedPageBreak/>
        <w:t xml:space="preserve">vote with management, thereby indirectly giving management additional votes on corporate </w:t>
      </w:r>
      <w:r w:rsidR="00D02C2C" w:rsidRPr="000605C0">
        <w:rPr>
          <w:sz w:val="28"/>
          <w:szCs w:val="28"/>
        </w:rPr>
        <w:t>restructurings</w:t>
      </w:r>
      <w:r w:rsidR="009D6328" w:rsidRPr="000605C0">
        <w:rPr>
          <w:sz w:val="28"/>
          <w:szCs w:val="28"/>
        </w:rPr>
        <w:t>.</w:t>
      </w:r>
    </w:p>
    <w:p w14:paraId="26586FDB" w14:textId="7DABB835" w:rsidR="002E5F68" w:rsidRPr="000605C0" w:rsidRDefault="002E5F68" w:rsidP="00612CDF">
      <w:pPr>
        <w:pStyle w:val="ListParagraph"/>
        <w:numPr>
          <w:ilvl w:val="1"/>
          <w:numId w:val="1"/>
        </w:numPr>
        <w:spacing w:after="200" w:line="276" w:lineRule="auto"/>
        <w:rPr>
          <w:sz w:val="28"/>
          <w:szCs w:val="28"/>
        </w:rPr>
      </w:pPr>
      <w:r w:rsidRPr="000605C0">
        <w:rPr>
          <w:sz w:val="28"/>
          <w:szCs w:val="28"/>
        </w:rPr>
        <w:t>Questions (p. 9-21):</w:t>
      </w:r>
    </w:p>
    <w:p w14:paraId="3FC6C3E9" w14:textId="3EF73B2F" w:rsidR="002E5F68" w:rsidRPr="000605C0" w:rsidRDefault="002E5F68" w:rsidP="002E5F68">
      <w:pPr>
        <w:pStyle w:val="ListParagraph"/>
        <w:numPr>
          <w:ilvl w:val="2"/>
          <w:numId w:val="1"/>
        </w:numPr>
        <w:spacing w:after="200" w:line="276" w:lineRule="auto"/>
        <w:rPr>
          <w:sz w:val="28"/>
          <w:szCs w:val="28"/>
        </w:rPr>
      </w:pPr>
      <w:r w:rsidRPr="000605C0">
        <w:rPr>
          <w:sz w:val="28"/>
          <w:szCs w:val="28"/>
        </w:rPr>
        <w:t>Question 1:</w:t>
      </w:r>
      <w:r w:rsidR="00D02C2C" w:rsidRPr="000605C0">
        <w:rPr>
          <w:sz w:val="28"/>
          <w:szCs w:val="28"/>
        </w:rPr>
        <w:t xml:space="preserve"> In a defined contribution plan, the contributions made to the plan by the employer (and the employee) are specified. The pension benefits that the employee ultimately receives depends not only on the amount contributed to the plan but on the plan’s investment performance as well. The employee bears all the risk of the fund’s performance rather than being guaranteed a certain level of retirement benefits. In a defined benefit pension plan, the employee’s benefits at retirement are specified. The employee need not be concerned with either the amount contributed to the plan by the employer or the investment performance of the assets (other than that the employer may default on the pension promise and the government may not cover the default fully). It is often difficult, however, to determine the required level of contributions into a defined benefit plan. The funding formula requires numerous actuarial assumptions about discount rates, terminal salary, life expectancy of the employees, the fund’s earning rate, and expected quit rates of employees.</w:t>
      </w:r>
    </w:p>
    <w:p w14:paraId="7726DD78" w14:textId="01259624" w:rsidR="002E5F68" w:rsidRPr="000605C0" w:rsidRDefault="002E5F68" w:rsidP="002E5F68">
      <w:pPr>
        <w:pStyle w:val="ListParagraph"/>
        <w:numPr>
          <w:ilvl w:val="2"/>
          <w:numId w:val="1"/>
        </w:numPr>
        <w:spacing w:after="200" w:line="276" w:lineRule="auto"/>
        <w:rPr>
          <w:sz w:val="28"/>
          <w:szCs w:val="28"/>
        </w:rPr>
      </w:pPr>
      <w:r w:rsidRPr="000605C0">
        <w:rPr>
          <w:sz w:val="28"/>
          <w:szCs w:val="28"/>
        </w:rPr>
        <w:t>Question 6:</w:t>
      </w:r>
      <w:r w:rsidR="00883999" w:rsidRPr="000605C0">
        <w:rPr>
          <w:sz w:val="28"/>
          <w:szCs w:val="28"/>
        </w:rPr>
        <w:t xml:space="preserve"> The puzzle is that pension funds have traditionally held nearly 50% of their assets in common stocks that bear high implicit taxes even though they form a natural tax clientele for taxable bonds. One explanation is that fund managers want to invest in riskier projects that have risk premiums and thus higher expected returns. Black and Tepper argue that firms would be better off holding bonds in their pension funds and purchasing risky stocks outside the fund with corporate debt. Their model has some limitations, however. For example, they assume that the bonds in the pension fund secure the corporate debt, but in the event of </w:t>
      </w:r>
      <w:r w:rsidR="00883999" w:rsidRPr="000605C0">
        <w:rPr>
          <w:sz w:val="28"/>
          <w:szCs w:val="28"/>
        </w:rPr>
        <w:lastRenderedPageBreak/>
        <w:t>bankruptcy, the pension funds would be off-limits to the corporate creditors.</w:t>
      </w:r>
    </w:p>
    <w:p w14:paraId="2F37AF0F" w14:textId="017208DA" w:rsidR="002E5F68" w:rsidRPr="000605C0" w:rsidRDefault="002E5F68" w:rsidP="002E5F68">
      <w:pPr>
        <w:pStyle w:val="ListParagraph"/>
        <w:numPr>
          <w:ilvl w:val="2"/>
          <w:numId w:val="1"/>
        </w:numPr>
        <w:spacing w:after="200" w:line="276" w:lineRule="auto"/>
        <w:rPr>
          <w:sz w:val="28"/>
          <w:szCs w:val="28"/>
        </w:rPr>
      </w:pPr>
      <w:r w:rsidRPr="000605C0">
        <w:rPr>
          <w:sz w:val="28"/>
          <w:szCs w:val="28"/>
        </w:rPr>
        <w:t>Question 11:</w:t>
      </w:r>
      <w:r w:rsidR="00883999" w:rsidRPr="000605C0">
        <w:rPr>
          <w:sz w:val="28"/>
          <w:szCs w:val="28"/>
        </w:rPr>
        <w:t xml:space="preserve"> An employee stock ownership plan, or ESOP, is a special type of defined contribution pension plan that is required to invest primarily in the stock of the company establishing the plan. A major reason for Congressional support for ESOPs is that these plans provide a form of employee ownership in the corporation.</w:t>
      </w:r>
    </w:p>
    <w:p w14:paraId="2C793369" w14:textId="3312D7D7" w:rsidR="002E5F68" w:rsidRPr="000605C0" w:rsidRDefault="002E5F68" w:rsidP="00612CDF">
      <w:pPr>
        <w:pStyle w:val="ListParagraph"/>
        <w:numPr>
          <w:ilvl w:val="1"/>
          <w:numId w:val="1"/>
        </w:numPr>
        <w:spacing w:after="200" w:line="276" w:lineRule="auto"/>
        <w:rPr>
          <w:sz w:val="28"/>
          <w:szCs w:val="28"/>
        </w:rPr>
      </w:pPr>
      <w:r w:rsidRPr="000605C0">
        <w:rPr>
          <w:sz w:val="28"/>
          <w:szCs w:val="28"/>
        </w:rPr>
        <w:t>Exercises (p. 9-21):</w:t>
      </w:r>
    </w:p>
    <w:p w14:paraId="589FF7B0" w14:textId="30AB3FCA" w:rsidR="00AF1E6E" w:rsidRPr="00AF1E6E" w:rsidRDefault="002E5F68" w:rsidP="006C0201">
      <w:pPr>
        <w:pStyle w:val="ListParagraph"/>
        <w:numPr>
          <w:ilvl w:val="2"/>
          <w:numId w:val="1"/>
        </w:numPr>
        <w:spacing w:after="0" w:line="240" w:lineRule="auto"/>
        <w:rPr>
          <w:rFonts w:eastAsia="Times New Roman" w:cstheme="minorHAnsi"/>
          <w:sz w:val="28"/>
          <w:szCs w:val="28"/>
        </w:rPr>
      </w:pPr>
      <w:r w:rsidRPr="000605C0">
        <w:rPr>
          <w:sz w:val="28"/>
          <w:szCs w:val="28"/>
        </w:rPr>
        <w:t>Exercise 1</w:t>
      </w:r>
      <w:r w:rsidR="001A3F4C" w:rsidRPr="000605C0">
        <w:rPr>
          <w:sz w:val="28"/>
          <w:szCs w:val="28"/>
        </w:rPr>
        <w:t>3</w:t>
      </w:r>
      <w:r w:rsidRPr="000605C0">
        <w:rPr>
          <w:sz w:val="28"/>
          <w:szCs w:val="28"/>
        </w:rPr>
        <w:t>:</w:t>
      </w:r>
      <w:r w:rsidR="00AF1E6E">
        <w:rPr>
          <w:sz w:val="28"/>
          <w:szCs w:val="28"/>
        </w:rPr>
        <w:t xml:space="preserve"> There are three alternative forms of compensation: (1) Immediate salary of $100 that can be invested by the employee; (2) Immediate pension contribution with the same after-tax cost to the employer; and (3) deferred compensation with an immediate after-cost, in present value terms, as the salary.</w:t>
      </w:r>
      <w:r w:rsidR="0058748D">
        <w:rPr>
          <w:sz w:val="28"/>
          <w:szCs w:val="28"/>
        </w:rPr>
        <w:t xml:space="preserve"> As demonstrated below, the employee will prefer the pension contr</w:t>
      </w:r>
      <w:r w:rsidR="00805293">
        <w:rPr>
          <w:sz w:val="28"/>
          <w:szCs w:val="28"/>
        </w:rPr>
        <w:t>i</w:t>
      </w:r>
      <w:r w:rsidR="0058748D">
        <w:rPr>
          <w:sz w:val="28"/>
          <w:szCs w:val="28"/>
        </w:rPr>
        <w:t>b</w:t>
      </w:r>
      <w:r w:rsidR="00805293">
        <w:rPr>
          <w:sz w:val="28"/>
          <w:szCs w:val="28"/>
        </w:rPr>
        <w:t>u</w:t>
      </w:r>
      <w:r w:rsidR="0058748D">
        <w:rPr>
          <w:sz w:val="28"/>
          <w:szCs w:val="28"/>
        </w:rPr>
        <w:t>t</w:t>
      </w:r>
      <w:r w:rsidR="00805293">
        <w:rPr>
          <w:sz w:val="28"/>
          <w:szCs w:val="28"/>
        </w:rPr>
        <w:t>i</w:t>
      </w:r>
      <w:r w:rsidR="0058748D">
        <w:rPr>
          <w:sz w:val="28"/>
          <w:szCs w:val="28"/>
        </w:rPr>
        <w:t>on.</w:t>
      </w:r>
    </w:p>
    <w:p w14:paraId="76CF64F9" w14:textId="1C6971DC" w:rsidR="00210B73" w:rsidRPr="00210B73" w:rsidRDefault="00AF1E6E" w:rsidP="00AF1E6E">
      <w:pPr>
        <w:pStyle w:val="ListParagraph"/>
        <w:numPr>
          <w:ilvl w:val="3"/>
          <w:numId w:val="1"/>
        </w:numPr>
        <w:spacing w:after="0" w:line="240" w:lineRule="auto"/>
        <w:rPr>
          <w:rFonts w:eastAsia="Times New Roman" w:cstheme="minorHAnsi"/>
          <w:sz w:val="28"/>
          <w:szCs w:val="28"/>
        </w:rPr>
      </w:pPr>
      <w:r>
        <w:rPr>
          <w:sz w:val="28"/>
          <w:szCs w:val="28"/>
        </w:rPr>
        <w:t>An immediate payment of salary of $100 will have an after-tax cost of $100 times (1 – 0.35), or $65.00. The employee will be taxed on the $100 a</w:t>
      </w:r>
      <w:r w:rsidR="00C57AC3">
        <w:rPr>
          <w:sz w:val="28"/>
          <w:szCs w:val="28"/>
        </w:rPr>
        <w:t>t</w:t>
      </w:r>
      <w:r>
        <w:rPr>
          <w:sz w:val="28"/>
          <w:szCs w:val="28"/>
        </w:rPr>
        <w:t xml:space="preserve"> an assumed rate of 32%, leaving $68 to invest. That investment will grow to $68(1.10)</w:t>
      </w:r>
      <w:r w:rsidRPr="00AF1E6E">
        <w:rPr>
          <w:sz w:val="28"/>
          <w:szCs w:val="28"/>
          <w:vertAlign w:val="superscript"/>
        </w:rPr>
        <w:t>15</w:t>
      </w:r>
      <w:r>
        <w:rPr>
          <w:sz w:val="28"/>
          <w:szCs w:val="28"/>
        </w:rPr>
        <w:t>, or</w:t>
      </w:r>
      <w:r w:rsidR="00210B73">
        <w:rPr>
          <w:sz w:val="28"/>
          <w:szCs w:val="28"/>
        </w:rPr>
        <w:t xml:space="preserve"> $284.0</w:t>
      </w:r>
      <w:r w:rsidR="009E1169">
        <w:rPr>
          <w:sz w:val="28"/>
          <w:szCs w:val="28"/>
        </w:rPr>
        <w:t>5</w:t>
      </w:r>
      <w:r w:rsidR="00210B73">
        <w:rPr>
          <w:sz w:val="28"/>
          <w:szCs w:val="28"/>
        </w:rPr>
        <w:t>.</w:t>
      </w:r>
      <w:r w:rsidR="001123EE">
        <w:rPr>
          <w:sz w:val="28"/>
          <w:szCs w:val="28"/>
        </w:rPr>
        <w:t xml:space="preserve"> This is the </w:t>
      </w:r>
      <w:r w:rsidR="001123EE" w:rsidRPr="00A8491A">
        <w:rPr>
          <w:i/>
          <w:iCs/>
          <w:sz w:val="28"/>
          <w:szCs w:val="28"/>
        </w:rPr>
        <w:t>after-tax</w:t>
      </w:r>
      <w:r w:rsidR="001123EE">
        <w:rPr>
          <w:sz w:val="28"/>
          <w:szCs w:val="28"/>
        </w:rPr>
        <w:t xml:space="preserve"> accumulation</w:t>
      </w:r>
      <w:r w:rsidR="008C6FD7">
        <w:rPr>
          <w:sz w:val="28"/>
          <w:szCs w:val="28"/>
        </w:rPr>
        <w:t xml:space="preserve"> because 10% is the employee’s after-tax rate of return</w:t>
      </w:r>
      <w:r w:rsidR="001123EE">
        <w:rPr>
          <w:sz w:val="28"/>
          <w:szCs w:val="28"/>
        </w:rPr>
        <w:t>.</w:t>
      </w:r>
    </w:p>
    <w:p w14:paraId="1795EA41" w14:textId="209B0A62" w:rsidR="00AF1E6E" w:rsidRPr="001123EE" w:rsidRDefault="00210B73" w:rsidP="00AF1E6E">
      <w:pPr>
        <w:pStyle w:val="ListParagraph"/>
        <w:numPr>
          <w:ilvl w:val="3"/>
          <w:numId w:val="1"/>
        </w:numPr>
        <w:spacing w:after="0" w:line="240" w:lineRule="auto"/>
        <w:rPr>
          <w:rFonts w:eastAsia="Times New Roman" w:cstheme="minorHAnsi"/>
          <w:sz w:val="28"/>
          <w:szCs w:val="28"/>
        </w:rPr>
      </w:pPr>
      <w:r>
        <w:rPr>
          <w:sz w:val="28"/>
          <w:szCs w:val="28"/>
        </w:rPr>
        <w:t>A $100 contribution to the employee’s pension plan will have an after-tax cost to the employer of $65, so the employer is indifferent between the salary payment and the pension contribution. The pension contribution of $100 will grow to $</w:t>
      </w:r>
      <w:r w:rsidR="00A8491A">
        <w:rPr>
          <w:sz w:val="28"/>
          <w:szCs w:val="28"/>
        </w:rPr>
        <w:t>100</w:t>
      </w:r>
      <w:r>
        <w:rPr>
          <w:sz w:val="28"/>
          <w:szCs w:val="28"/>
        </w:rPr>
        <w:t>(1.12)</w:t>
      </w:r>
      <w:r w:rsidRPr="00210B73">
        <w:rPr>
          <w:sz w:val="28"/>
          <w:szCs w:val="28"/>
          <w:vertAlign w:val="superscript"/>
        </w:rPr>
        <w:t>15</w:t>
      </w:r>
      <w:r>
        <w:rPr>
          <w:sz w:val="28"/>
          <w:szCs w:val="28"/>
        </w:rPr>
        <w:t>, and that accumulation will be taxed at 22% when withdrawn by the employee at retirement, so the after-tax accumulation will grow to $100(1.12)</w:t>
      </w:r>
      <w:r w:rsidRPr="00210B73">
        <w:rPr>
          <w:sz w:val="28"/>
          <w:szCs w:val="28"/>
          <w:vertAlign w:val="superscript"/>
        </w:rPr>
        <w:t>15</w:t>
      </w:r>
      <w:r>
        <w:rPr>
          <w:sz w:val="28"/>
          <w:szCs w:val="28"/>
        </w:rPr>
        <w:t>(0.78), or $</w:t>
      </w:r>
      <w:r w:rsidR="001123EE">
        <w:rPr>
          <w:sz w:val="28"/>
          <w:szCs w:val="28"/>
        </w:rPr>
        <w:t>42</w:t>
      </w:r>
      <w:r w:rsidR="009E1169">
        <w:rPr>
          <w:sz w:val="28"/>
          <w:szCs w:val="28"/>
        </w:rPr>
        <w:t>6</w:t>
      </w:r>
      <w:r w:rsidR="001123EE">
        <w:rPr>
          <w:sz w:val="28"/>
          <w:szCs w:val="28"/>
        </w:rPr>
        <w:t>.</w:t>
      </w:r>
      <w:r w:rsidR="009E1169">
        <w:rPr>
          <w:sz w:val="28"/>
          <w:szCs w:val="28"/>
        </w:rPr>
        <w:t>94</w:t>
      </w:r>
      <w:r w:rsidR="001123EE">
        <w:rPr>
          <w:sz w:val="28"/>
          <w:szCs w:val="28"/>
        </w:rPr>
        <w:t>.</w:t>
      </w:r>
    </w:p>
    <w:p w14:paraId="11085CEB" w14:textId="32ED19F7" w:rsidR="001123EE" w:rsidRPr="0058748D" w:rsidRDefault="001123EE" w:rsidP="00AF1E6E">
      <w:pPr>
        <w:pStyle w:val="ListParagraph"/>
        <w:numPr>
          <w:ilvl w:val="3"/>
          <w:numId w:val="1"/>
        </w:numPr>
        <w:spacing w:after="0" w:line="240" w:lineRule="auto"/>
        <w:rPr>
          <w:rFonts w:eastAsia="Times New Roman" w:cstheme="minorHAnsi"/>
          <w:sz w:val="28"/>
          <w:szCs w:val="28"/>
        </w:rPr>
      </w:pPr>
      <w:r>
        <w:rPr>
          <w:sz w:val="28"/>
          <w:szCs w:val="28"/>
        </w:rPr>
        <w:t xml:space="preserve">Using </w:t>
      </w:r>
      <w:r w:rsidRPr="007051C4">
        <w:rPr>
          <w:b/>
          <w:bCs/>
          <w:sz w:val="28"/>
          <w:szCs w:val="28"/>
        </w:rPr>
        <w:t>equation 8.1</w:t>
      </w:r>
      <w:r>
        <w:rPr>
          <w:sz w:val="28"/>
          <w:szCs w:val="28"/>
        </w:rPr>
        <w:t xml:space="preserve"> (page 8-3), the amount that can be paid in deferred compensation with an immediate present-value of $100(1 – </w:t>
      </w:r>
      <w:r w:rsidR="00B11040">
        <w:rPr>
          <w:sz w:val="28"/>
          <w:szCs w:val="28"/>
        </w:rPr>
        <w:t>0.35</w:t>
      </w:r>
      <w:r w:rsidR="0058748D">
        <w:rPr>
          <w:sz w:val="28"/>
          <w:szCs w:val="28"/>
        </w:rPr>
        <w:t xml:space="preserve">) </w:t>
      </w:r>
      <w:r>
        <w:rPr>
          <w:sz w:val="28"/>
          <w:szCs w:val="28"/>
        </w:rPr>
        <w:t xml:space="preserve">equals </w:t>
      </w:r>
      <w:r w:rsidR="00AC778E">
        <w:rPr>
          <w:sz w:val="28"/>
          <w:szCs w:val="28"/>
        </w:rPr>
        <w:t>$100 (</w:t>
      </w:r>
      <w:r w:rsidR="0058748D">
        <w:rPr>
          <w:sz w:val="28"/>
          <w:szCs w:val="28"/>
        </w:rPr>
        <w:t>1.10)</w:t>
      </w:r>
      <w:r w:rsidR="0058748D" w:rsidRPr="0058748D">
        <w:rPr>
          <w:sz w:val="28"/>
          <w:szCs w:val="28"/>
          <w:vertAlign w:val="superscript"/>
        </w:rPr>
        <w:t>15</w:t>
      </w:r>
      <w:r w:rsidR="0058748D">
        <w:rPr>
          <w:sz w:val="28"/>
          <w:szCs w:val="28"/>
        </w:rPr>
        <w:t>(0.65)</w:t>
      </w:r>
      <w:proofErr w:type="gramStart"/>
      <w:r w:rsidR="0058748D">
        <w:rPr>
          <w:sz w:val="28"/>
          <w:szCs w:val="28"/>
        </w:rPr>
        <w:t>/(</w:t>
      </w:r>
      <w:proofErr w:type="gramEnd"/>
      <w:r w:rsidR="0058748D">
        <w:rPr>
          <w:sz w:val="28"/>
          <w:szCs w:val="28"/>
        </w:rPr>
        <w:t>0.</w:t>
      </w:r>
      <w:r w:rsidR="00C3588E">
        <w:rPr>
          <w:sz w:val="28"/>
          <w:szCs w:val="28"/>
        </w:rPr>
        <w:t>7</w:t>
      </w:r>
      <w:r w:rsidR="00FD0C56">
        <w:rPr>
          <w:sz w:val="28"/>
          <w:szCs w:val="28"/>
        </w:rPr>
        <w:t>9</w:t>
      </w:r>
      <w:r w:rsidR="0058748D">
        <w:rPr>
          <w:sz w:val="28"/>
          <w:szCs w:val="28"/>
        </w:rPr>
        <w:t>), or $343.</w:t>
      </w:r>
      <w:r w:rsidR="00FD0C56">
        <w:rPr>
          <w:sz w:val="28"/>
          <w:szCs w:val="28"/>
        </w:rPr>
        <w:t>69</w:t>
      </w:r>
      <w:r w:rsidR="0058748D">
        <w:rPr>
          <w:sz w:val="28"/>
          <w:szCs w:val="28"/>
        </w:rPr>
        <w:t xml:space="preserve">. If this amount is paid to </w:t>
      </w:r>
      <w:r w:rsidR="0058748D">
        <w:rPr>
          <w:sz w:val="28"/>
          <w:szCs w:val="28"/>
        </w:rPr>
        <w:lastRenderedPageBreak/>
        <w:t>the employee when the employee retires, the after-tax accumulation will equal $343.</w:t>
      </w:r>
      <w:r w:rsidR="00FD0C56">
        <w:rPr>
          <w:sz w:val="28"/>
          <w:szCs w:val="28"/>
        </w:rPr>
        <w:t>69</w:t>
      </w:r>
      <w:r w:rsidR="0058748D">
        <w:rPr>
          <w:sz w:val="28"/>
          <w:szCs w:val="28"/>
        </w:rPr>
        <w:t>(0.78), or $26</w:t>
      </w:r>
      <w:r w:rsidR="00FD0C56">
        <w:rPr>
          <w:sz w:val="28"/>
          <w:szCs w:val="28"/>
        </w:rPr>
        <w:t>8</w:t>
      </w:r>
      <w:r w:rsidR="0058748D">
        <w:rPr>
          <w:sz w:val="28"/>
          <w:szCs w:val="28"/>
        </w:rPr>
        <w:t>.</w:t>
      </w:r>
      <w:r w:rsidR="00FD0C56">
        <w:rPr>
          <w:sz w:val="28"/>
          <w:szCs w:val="28"/>
        </w:rPr>
        <w:t>08</w:t>
      </w:r>
      <w:r w:rsidR="0058748D">
        <w:rPr>
          <w:sz w:val="28"/>
          <w:szCs w:val="28"/>
        </w:rPr>
        <w:t>.</w:t>
      </w:r>
    </w:p>
    <w:p w14:paraId="1BCFB7F0" w14:textId="59AA1EB1" w:rsidR="0058748D" w:rsidRPr="00AF1E6E" w:rsidRDefault="0058748D" w:rsidP="00AF1E6E">
      <w:pPr>
        <w:pStyle w:val="ListParagraph"/>
        <w:numPr>
          <w:ilvl w:val="3"/>
          <w:numId w:val="1"/>
        </w:numPr>
        <w:spacing w:after="0" w:line="240" w:lineRule="auto"/>
        <w:rPr>
          <w:rFonts w:eastAsia="Times New Roman" w:cstheme="minorHAnsi"/>
          <w:sz w:val="28"/>
          <w:szCs w:val="28"/>
        </w:rPr>
      </w:pPr>
      <w:r w:rsidRPr="0058748D">
        <w:rPr>
          <w:rFonts w:eastAsia="Times New Roman" w:cstheme="minorHAnsi"/>
          <w:sz w:val="28"/>
          <w:szCs w:val="28"/>
        </w:rPr>
        <w:t>Are we surprised that the pension contribution yields the best results?</w:t>
      </w:r>
      <w:r>
        <w:rPr>
          <w:rFonts w:eastAsia="Times New Roman" w:cstheme="minorHAnsi"/>
          <w:sz w:val="28"/>
          <w:szCs w:val="28"/>
        </w:rPr>
        <w:t xml:space="preserve"> T</w:t>
      </w:r>
      <w:r w:rsidRPr="0058748D">
        <w:rPr>
          <w:rFonts w:eastAsia="Times New Roman" w:cstheme="minorHAnsi"/>
          <w:sz w:val="28"/>
          <w:szCs w:val="28"/>
        </w:rPr>
        <w:t>he employer’s tax rate is declining, favor</w:t>
      </w:r>
      <w:r>
        <w:rPr>
          <w:rFonts w:eastAsia="Times New Roman" w:cstheme="minorHAnsi"/>
          <w:sz w:val="28"/>
          <w:szCs w:val="28"/>
        </w:rPr>
        <w:t>ing</w:t>
      </w:r>
      <w:r w:rsidRPr="0058748D">
        <w:rPr>
          <w:rFonts w:eastAsia="Times New Roman" w:cstheme="minorHAnsi"/>
          <w:sz w:val="28"/>
          <w:szCs w:val="28"/>
        </w:rPr>
        <w:t xml:space="preserve"> a current deduction (pension or immediate salary)</w:t>
      </w:r>
      <w:r>
        <w:rPr>
          <w:rFonts w:eastAsia="Times New Roman" w:cstheme="minorHAnsi"/>
          <w:sz w:val="28"/>
          <w:szCs w:val="28"/>
        </w:rPr>
        <w:t xml:space="preserve">; </w:t>
      </w:r>
      <w:r w:rsidRPr="0058748D">
        <w:rPr>
          <w:rFonts w:eastAsia="Times New Roman" w:cstheme="minorHAnsi"/>
          <w:sz w:val="28"/>
          <w:szCs w:val="28"/>
        </w:rPr>
        <w:t>the employee’s tax rate is declining, favor</w:t>
      </w:r>
      <w:r>
        <w:rPr>
          <w:rFonts w:eastAsia="Times New Roman" w:cstheme="minorHAnsi"/>
          <w:sz w:val="28"/>
          <w:szCs w:val="28"/>
        </w:rPr>
        <w:t>ing</w:t>
      </w:r>
      <w:r w:rsidRPr="0058748D">
        <w:rPr>
          <w:rFonts w:eastAsia="Times New Roman" w:cstheme="minorHAnsi"/>
          <w:sz w:val="28"/>
          <w:szCs w:val="28"/>
        </w:rPr>
        <w:t xml:space="preserve"> deferred income (pension or deferred compensation)</w:t>
      </w:r>
      <w:r>
        <w:rPr>
          <w:rFonts w:eastAsia="Times New Roman" w:cstheme="minorHAnsi"/>
          <w:sz w:val="28"/>
          <w:szCs w:val="28"/>
        </w:rPr>
        <w:t>;</w:t>
      </w:r>
      <w:r w:rsidRPr="0058748D">
        <w:rPr>
          <w:rFonts w:eastAsia="Times New Roman" w:cstheme="minorHAnsi"/>
          <w:sz w:val="28"/>
          <w:szCs w:val="28"/>
        </w:rPr>
        <w:t xml:space="preserve"> and the pension can earn </w:t>
      </w:r>
      <w:r>
        <w:rPr>
          <w:rFonts w:eastAsia="Times New Roman" w:cstheme="minorHAnsi"/>
          <w:sz w:val="28"/>
          <w:szCs w:val="28"/>
        </w:rPr>
        <w:t xml:space="preserve">a </w:t>
      </w:r>
      <w:r w:rsidRPr="0058748D">
        <w:rPr>
          <w:rFonts w:eastAsia="Times New Roman" w:cstheme="minorHAnsi"/>
          <w:sz w:val="28"/>
          <w:szCs w:val="28"/>
        </w:rPr>
        <w:t>higher after-tax annual rate of return</w:t>
      </w:r>
      <w:r>
        <w:rPr>
          <w:rFonts w:eastAsia="Times New Roman" w:cstheme="minorHAnsi"/>
          <w:sz w:val="28"/>
          <w:szCs w:val="28"/>
        </w:rPr>
        <w:t xml:space="preserve">, again favoring the pension contribution. Thus, all three factors </w:t>
      </w:r>
      <w:r w:rsidRPr="0058748D">
        <w:rPr>
          <w:rFonts w:eastAsia="Times New Roman" w:cstheme="minorHAnsi"/>
          <w:sz w:val="28"/>
          <w:szCs w:val="28"/>
        </w:rPr>
        <w:t xml:space="preserve">favor the pension contribution. </w:t>
      </w:r>
    </w:p>
    <w:p w14:paraId="134A0FCC" w14:textId="37161E57" w:rsidR="001E2720" w:rsidRPr="000605C0" w:rsidRDefault="002E5F68" w:rsidP="009B19AB">
      <w:pPr>
        <w:pStyle w:val="ListParagraph"/>
        <w:numPr>
          <w:ilvl w:val="2"/>
          <w:numId w:val="1"/>
        </w:numPr>
        <w:spacing w:after="200" w:line="276" w:lineRule="auto"/>
        <w:rPr>
          <w:sz w:val="28"/>
          <w:szCs w:val="28"/>
        </w:rPr>
      </w:pPr>
      <w:r w:rsidRPr="000605C0">
        <w:rPr>
          <w:sz w:val="28"/>
          <w:szCs w:val="28"/>
        </w:rPr>
        <w:t>Exercise 16:</w:t>
      </w:r>
      <w:r w:rsidR="001E2720" w:rsidRPr="000605C0">
        <w:rPr>
          <w:sz w:val="28"/>
          <w:szCs w:val="28"/>
        </w:rPr>
        <w:t xml:space="preserve"> </w:t>
      </w:r>
      <w:r w:rsidR="00FD4620" w:rsidRPr="000605C0">
        <w:rPr>
          <w:sz w:val="28"/>
          <w:szCs w:val="28"/>
        </w:rPr>
        <w:t>The p</w:t>
      </w:r>
      <w:r w:rsidR="001E2720" w:rsidRPr="000605C0">
        <w:rPr>
          <w:sz w:val="28"/>
          <w:szCs w:val="28"/>
        </w:rPr>
        <w:t xml:space="preserve">ension contribution today required to provide </w:t>
      </w:r>
      <w:r w:rsidR="00F5127D" w:rsidRPr="000605C0">
        <w:rPr>
          <w:sz w:val="28"/>
          <w:szCs w:val="28"/>
        </w:rPr>
        <w:t xml:space="preserve">a </w:t>
      </w:r>
      <w:r w:rsidR="001E2720" w:rsidRPr="000605C0">
        <w:rPr>
          <w:sz w:val="28"/>
          <w:szCs w:val="28"/>
        </w:rPr>
        <w:t xml:space="preserve">$1,000 benefit to </w:t>
      </w:r>
      <w:r w:rsidR="00F5127D" w:rsidRPr="000605C0">
        <w:rPr>
          <w:sz w:val="28"/>
          <w:szCs w:val="28"/>
        </w:rPr>
        <w:t xml:space="preserve">the </w:t>
      </w:r>
      <w:r w:rsidR="001E2720" w:rsidRPr="000605C0">
        <w:rPr>
          <w:sz w:val="28"/>
          <w:szCs w:val="28"/>
        </w:rPr>
        <w:t xml:space="preserve">employee </w:t>
      </w:r>
      <w:r w:rsidR="00F5127D" w:rsidRPr="000605C0">
        <w:rPr>
          <w:sz w:val="28"/>
          <w:szCs w:val="28"/>
        </w:rPr>
        <w:t xml:space="preserve">in n years </w:t>
      </w:r>
      <w:r w:rsidR="001E2720" w:rsidRPr="000605C0">
        <w:rPr>
          <w:sz w:val="28"/>
          <w:szCs w:val="28"/>
        </w:rPr>
        <w:t>(</w:t>
      </w:r>
      <w:r w:rsidR="00F5127D" w:rsidRPr="000605C0">
        <w:rPr>
          <w:sz w:val="28"/>
          <w:szCs w:val="28"/>
        </w:rPr>
        <w:t xml:space="preserve">note that the </w:t>
      </w:r>
      <w:r w:rsidR="001E2720" w:rsidRPr="000605C0">
        <w:rPr>
          <w:sz w:val="28"/>
          <w:szCs w:val="28"/>
        </w:rPr>
        <w:t xml:space="preserve">employee pays tax on the pension income so </w:t>
      </w:r>
      <w:r w:rsidR="00F5127D" w:rsidRPr="000605C0">
        <w:rPr>
          <w:sz w:val="28"/>
          <w:szCs w:val="28"/>
        </w:rPr>
        <w:t>the employer m</w:t>
      </w:r>
      <w:r w:rsidR="00611BAB" w:rsidRPr="000605C0">
        <w:rPr>
          <w:sz w:val="28"/>
          <w:szCs w:val="28"/>
        </w:rPr>
        <w:t>u</w:t>
      </w:r>
      <w:r w:rsidR="00F5127D" w:rsidRPr="000605C0">
        <w:rPr>
          <w:sz w:val="28"/>
          <w:szCs w:val="28"/>
        </w:rPr>
        <w:t xml:space="preserve">st </w:t>
      </w:r>
      <w:r w:rsidR="001E2720" w:rsidRPr="000605C0">
        <w:rPr>
          <w:sz w:val="28"/>
          <w:szCs w:val="28"/>
        </w:rPr>
        <w:t xml:space="preserve">provide more than </w:t>
      </w:r>
      <w:r w:rsidR="00AF5BAC" w:rsidRPr="000605C0">
        <w:rPr>
          <w:sz w:val="28"/>
          <w:szCs w:val="28"/>
        </w:rPr>
        <w:t>$1,000</w:t>
      </w:r>
      <w:r w:rsidR="001E2720" w:rsidRPr="000605C0">
        <w:rPr>
          <w:sz w:val="28"/>
          <w:szCs w:val="28"/>
        </w:rPr>
        <w:t xml:space="preserve"> in retirement)</w:t>
      </w:r>
      <w:r w:rsidR="009B19AB" w:rsidRPr="000605C0">
        <w:rPr>
          <w:sz w:val="28"/>
          <w:szCs w:val="28"/>
        </w:rPr>
        <w:t xml:space="preserve"> is:</w:t>
      </w:r>
      <w:r w:rsidR="00F83768" w:rsidRPr="000605C0">
        <w:rPr>
          <w:sz w:val="28"/>
          <w:szCs w:val="28"/>
        </w:rPr>
        <w:t xml:space="preserve"> $1,000 times 1</w:t>
      </w:r>
      <w:proofErr w:type="gramStart"/>
      <w:r w:rsidR="00F83768" w:rsidRPr="000605C0">
        <w:rPr>
          <w:sz w:val="28"/>
          <w:szCs w:val="28"/>
        </w:rPr>
        <w:t>/(</w:t>
      </w:r>
      <w:proofErr w:type="gramEnd"/>
      <w:r w:rsidR="00F83768" w:rsidRPr="000605C0">
        <w:rPr>
          <w:sz w:val="28"/>
          <w:szCs w:val="28"/>
        </w:rPr>
        <w:t xml:space="preserve">1 – </w:t>
      </w:r>
      <w:r w:rsidR="00B11040">
        <w:rPr>
          <w:sz w:val="28"/>
          <w:szCs w:val="28"/>
        </w:rPr>
        <w:t>0.20</w:t>
      </w:r>
      <w:r w:rsidR="00F83768" w:rsidRPr="000605C0">
        <w:rPr>
          <w:sz w:val="28"/>
          <w:szCs w:val="28"/>
        </w:rPr>
        <w:t xml:space="preserve">) </w:t>
      </w:r>
      <w:r w:rsidR="00A8491A">
        <w:rPr>
          <w:sz w:val="28"/>
          <w:szCs w:val="28"/>
        </w:rPr>
        <w:t>[g</w:t>
      </w:r>
      <w:r w:rsidR="005E4E4C">
        <w:rPr>
          <w:sz w:val="28"/>
          <w:szCs w:val="28"/>
        </w:rPr>
        <w:t>r</w:t>
      </w:r>
      <w:r w:rsidR="00A8491A">
        <w:rPr>
          <w:sz w:val="28"/>
          <w:szCs w:val="28"/>
        </w:rPr>
        <w:t xml:space="preserve">oss-up for the employee’s tax on withdrawal] </w:t>
      </w:r>
      <w:r w:rsidR="00F83768" w:rsidRPr="000605C0">
        <w:rPr>
          <w:sz w:val="28"/>
          <w:szCs w:val="28"/>
        </w:rPr>
        <w:t xml:space="preserve">times 1/(1 + </w:t>
      </w:r>
      <w:r w:rsidR="00276832">
        <w:rPr>
          <w:sz w:val="28"/>
          <w:szCs w:val="28"/>
        </w:rPr>
        <w:t>0.12</w:t>
      </w:r>
      <w:r w:rsidR="00F83768" w:rsidRPr="000605C0">
        <w:rPr>
          <w:sz w:val="28"/>
          <w:szCs w:val="28"/>
        </w:rPr>
        <w:t>)</w:t>
      </w:r>
      <w:r w:rsidR="00276832" w:rsidRPr="00276832">
        <w:rPr>
          <w:sz w:val="28"/>
          <w:szCs w:val="28"/>
          <w:vertAlign w:val="superscript"/>
        </w:rPr>
        <w:t>25</w:t>
      </w:r>
      <w:r w:rsidR="005E4E4C">
        <w:rPr>
          <w:sz w:val="28"/>
          <w:szCs w:val="28"/>
        </w:rPr>
        <w:t>[discount to present value]</w:t>
      </w:r>
      <w:r w:rsidR="00F83768" w:rsidRPr="000605C0">
        <w:rPr>
          <w:sz w:val="28"/>
          <w:szCs w:val="28"/>
        </w:rPr>
        <w:t xml:space="preserve"> </w:t>
      </w:r>
      <w:r w:rsidR="00276832">
        <w:rPr>
          <w:sz w:val="28"/>
          <w:szCs w:val="28"/>
        </w:rPr>
        <w:t xml:space="preserve">or </w:t>
      </w:r>
      <w:r w:rsidR="00835A49">
        <w:rPr>
          <w:sz w:val="28"/>
          <w:szCs w:val="28"/>
        </w:rPr>
        <w:t>$73.53. (</w:t>
      </w:r>
      <w:r w:rsidR="005E4E4C">
        <w:rPr>
          <w:sz w:val="28"/>
          <w:szCs w:val="28"/>
        </w:rPr>
        <w:t>T</w:t>
      </w:r>
      <w:r w:rsidR="00835A49">
        <w:rPr>
          <w:sz w:val="28"/>
          <w:szCs w:val="28"/>
        </w:rPr>
        <w:t xml:space="preserve">his is the answer to the exercise and is independent </w:t>
      </w:r>
      <w:r w:rsidR="005E4E4C">
        <w:rPr>
          <w:sz w:val="28"/>
          <w:szCs w:val="28"/>
        </w:rPr>
        <w:t xml:space="preserve">of </w:t>
      </w:r>
      <w:r w:rsidR="00835A49">
        <w:rPr>
          <w:sz w:val="28"/>
          <w:szCs w:val="28"/>
        </w:rPr>
        <w:t>the employer’s tax rate.) T</w:t>
      </w:r>
      <w:r w:rsidR="00FD4620" w:rsidRPr="000605C0">
        <w:rPr>
          <w:sz w:val="28"/>
          <w:szCs w:val="28"/>
        </w:rPr>
        <w:t xml:space="preserve">he after-tax cost to the employer is </w:t>
      </w:r>
      <w:r w:rsidR="005E4E4C">
        <w:rPr>
          <w:sz w:val="28"/>
          <w:szCs w:val="28"/>
        </w:rPr>
        <w:t>$73.53 times</w:t>
      </w:r>
      <w:r w:rsidR="00F83768" w:rsidRPr="000605C0">
        <w:rPr>
          <w:sz w:val="28"/>
          <w:szCs w:val="28"/>
        </w:rPr>
        <w:t xml:space="preserve"> (1 – </w:t>
      </w:r>
      <w:r w:rsidR="00835A49">
        <w:rPr>
          <w:sz w:val="28"/>
          <w:szCs w:val="28"/>
        </w:rPr>
        <w:t>0.35</w:t>
      </w:r>
      <w:r w:rsidR="00F83768" w:rsidRPr="000605C0">
        <w:rPr>
          <w:sz w:val="28"/>
          <w:szCs w:val="28"/>
        </w:rPr>
        <w:t xml:space="preserve">), or </w:t>
      </w:r>
      <w:r w:rsidR="00835A49">
        <w:rPr>
          <w:sz w:val="28"/>
          <w:szCs w:val="28"/>
        </w:rPr>
        <w:t xml:space="preserve">$47.75. </w:t>
      </w:r>
      <w:r w:rsidR="009B19AB" w:rsidRPr="000605C0">
        <w:rPr>
          <w:sz w:val="28"/>
          <w:szCs w:val="28"/>
        </w:rPr>
        <w:t>If t</w:t>
      </w:r>
      <w:r w:rsidR="009B19AB" w:rsidRPr="000605C0">
        <w:rPr>
          <w:sz w:val="28"/>
          <w:szCs w:val="28"/>
          <w:vertAlign w:val="subscript"/>
        </w:rPr>
        <w:t>c</w:t>
      </w:r>
      <w:r w:rsidR="00F5127D" w:rsidRPr="000605C0">
        <w:rPr>
          <w:sz w:val="28"/>
          <w:szCs w:val="28"/>
          <w:vertAlign w:val="subscript"/>
        </w:rPr>
        <w:t>0</w:t>
      </w:r>
      <w:r w:rsidR="009B19AB" w:rsidRPr="000605C0">
        <w:rPr>
          <w:sz w:val="28"/>
          <w:szCs w:val="28"/>
        </w:rPr>
        <w:t xml:space="preserve"> = 21%</w:t>
      </w:r>
      <w:r w:rsidR="00835A49">
        <w:rPr>
          <w:sz w:val="28"/>
          <w:szCs w:val="28"/>
        </w:rPr>
        <w:t xml:space="preserve"> rather than 35%</w:t>
      </w:r>
      <w:r w:rsidR="009B19AB" w:rsidRPr="000605C0">
        <w:rPr>
          <w:sz w:val="28"/>
          <w:szCs w:val="28"/>
        </w:rPr>
        <w:t xml:space="preserve">, the </w:t>
      </w:r>
      <w:r w:rsidR="00FD4620" w:rsidRPr="000605C0">
        <w:rPr>
          <w:sz w:val="28"/>
          <w:szCs w:val="28"/>
        </w:rPr>
        <w:t>after-tax cost</w:t>
      </w:r>
      <w:r w:rsidR="009B19AB" w:rsidRPr="000605C0">
        <w:rPr>
          <w:sz w:val="28"/>
          <w:szCs w:val="28"/>
        </w:rPr>
        <w:t xml:space="preserve"> is $</w:t>
      </w:r>
      <w:r w:rsidR="00835A49">
        <w:rPr>
          <w:sz w:val="28"/>
          <w:szCs w:val="28"/>
        </w:rPr>
        <w:t>58</w:t>
      </w:r>
      <w:r w:rsidR="009B19AB" w:rsidRPr="000605C0">
        <w:rPr>
          <w:sz w:val="28"/>
          <w:szCs w:val="28"/>
        </w:rPr>
        <w:t>.</w:t>
      </w:r>
      <w:r w:rsidR="00835A49">
        <w:rPr>
          <w:sz w:val="28"/>
          <w:szCs w:val="28"/>
        </w:rPr>
        <w:t>09</w:t>
      </w:r>
      <w:r w:rsidR="009B19AB" w:rsidRPr="000605C0">
        <w:rPr>
          <w:sz w:val="28"/>
          <w:szCs w:val="28"/>
        </w:rPr>
        <w:t xml:space="preserve">. </w:t>
      </w:r>
      <w:r w:rsidR="00F83768" w:rsidRPr="000605C0">
        <w:rPr>
          <w:sz w:val="28"/>
          <w:szCs w:val="28"/>
        </w:rPr>
        <w:t xml:space="preserve">Note that </w:t>
      </w:r>
      <w:r w:rsidR="00E67AA0">
        <w:rPr>
          <w:sz w:val="28"/>
          <w:szCs w:val="28"/>
        </w:rPr>
        <w:t>as the</w:t>
      </w:r>
      <w:r w:rsidR="00F83768" w:rsidRPr="000605C0">
        <w:rPr>
          <w:sz w:val="28"/>
          <w:szCs w:val="28"/>
        </w:rPr>
        <w:t xml:space="preserve"> corporate tax </w:t>
      </w:r>
      <w:r w:rsidR="00E67AA0">
        <w:rPr>
          <w:sz w:val="28"/>
          <w:szCs w:val="28"/>
        </w:rPr>
        <w:t>declines, the value of the deduction arising from the compensation payment becomes lower making the after-tax cost higher.</w:t>
      </w:r>
    </w:p>
    <w:sectPr w:rsidR="001E2720" w:rsidRPr="000605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2D4D" w14:textId="77777777" w:rsidR="001B774F" w:rsidRDefault="001B774F" w:rsidP="000427A1">
      <w:pPr>
        <w:spacing w:after="0" w:line="240" w:lineRule="auto"/>
      </w:pPr>
      <w:r>
        <w:separator/>
      </w:r>
    </w:p>
  </w:endnote>
  <w:endnote w:type="continuationSeparator" w:id="0">
    <w:p w14:paraId="6DD3144C" w14:textId="77777777" w:rsidR="001B774F" w:rsidRDefault="001B774F" w:rsidP="0004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F2D3" w14:textId="7F57F3D5" w:rsidR="000427A1" w:rsidRDefault="003C0C59">
    <w:pPr>
      <w:pStyle w:val="Footer"/>
      <w:jc w:val="center"/>
    </w:pPr>
    <w:r>
      <w:t>9</w:t>
    </w:r>
    <w:r w:rsidR="000427A1">
      <w:t>-</w:t>
    </w:r>
    <w:sdt>
      <w:sdtPr>
        <w:id w:val="-834839928"/>
        <w:docPartObj>
          <w:docPartGallery w:val="Page Numbers (Bottom of Page)"/>
          <w:docPartUnique/>
        </w:docPartObj>
      </w:sdtPr>
      <w:sdtEndPr>
        <w:rPr>
          <w:noProof/>
        </w:rPr>
      </w:sdtEndPr>
      <w:sdtContent>
        <w:r w:rsidR="000427A1">
          <w:fldChar w:fldCharType="begin"/>
        </w:r>
        <w:r w:rsidR="000427A1">
          <w:instrText xml:space="preserve"> PAGE   \* MERGEFORMAT </w:instrText>
        </w:r>
        <w:r w:rsidR="000427A1">
          <w:fldChar w:fldCharType="separate"/>
        </w:r>
        <w:r w:rsidR="000427A1">
          <w:rPr>
            <w:noProof/>
          </w:rPr>
          <w:t>2</w:t>
        </w:r>
        <w:r w:rsidR="000427A1">
          <w:rPr>
            <w:noProof/>
          </w:rPr>
          <w:fldChar w:fldCharType="end"/>
        </w:r>
      </w:sdtContent>
    </w:sdt>
  </w:p>
  <w:p w14:paraId="214758B8" w14:textId="77777777" w:rsidR="000427A1" w:rsidRDefault="0004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F080" w14:textId="77777777" w:rsidR="001B774F" w:rsidRDefault="001B774F" w:rsidP="000427A1">
      <w:pPr>
        <w:spacing w:after="0" w:line="240" w:lineRule="auto"/>
      </w:pPr>
      <w:r>
        <w:separator/>
      </w:r>
    </w:p>
  </w:footnote>
  <w:footnote w:type="continuationSeparator" w:id="0">
    <w:p w14:paraId="786B04B8" w14:textId="77777777" w:rsidR="001B774F" w:rsidRDefault="001B774F" w:rsidP="00042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B2AAC4DA"/>
    <w:lvl w:ilvl="0">
      <w:start w:val="9"/>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01950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AA"/>
    <w:rsid w:val="00014F0B"/>
    <w:rsid w:val="00024CB5"/>
    <w:rsid w:val="000427A1"/>
    <w:rsid w:val="000455B5"/>
    <w:rsid w:val="00056B86"/>
    <w:rsid w:val="00057B68"/>
    <w:rsid w:val="000605C0"/>
    <w:rsid w:val="00072BA2"/>
    <w:rsid w:val="000A4BE3"/>
    <w:rsid w:val="000A5650"/>
    <w:rsid w:val="000C1AC7"/>
    <w:rsid w:val="000C3004"/>
    <w:rsid w:val="000C6F9F"/>
    <w:rsid w:val="000E09D0"/>
    <w:rsid w:val="000E3106"/>
    <w:rsid w:val="000E4D15"/>
    <w:rsid w:val="000F0022"/>
    <w:rsid w:val="001123EE"/>
    <w:rsid w:val="00120023"/>
    <w:rsid w:val="00127747"/>
    <w:rsid w:val="00147583"/>
    <w:rsid w:val="0016412E"/>
    <w:rsid w:val="00165F1A"/>
    <w:rsid w:val="00167FA0"/>
    <w:rsid w:val="00173F5D"/>
    <w:rsid w:val="001A3F4C"/>
    <w:rsid w:val="001B774F"/>
    <w:rsid w:val="001E2720"/>
    <w:rsid w:val="001F192C"/>
    <w:rsid w:val="0020550C"/>
    <w:rsid w:val="00210B73"/>
    <w:rsid w:val="0022250F"/>
    <w:rsid w:val="002519F1"/>
    <w:rsid w:val="00273258"/>
    <w:rsid w:val="00276832"/>
    <w:rsid w:val="00287319"/>
    <w:rsid w:val="002A5033"/>
    <w:rsid w:val="002A60B6"/>
    <w:rsid w:val="002A631E"/>
    <w:rsid w:val="002E38A8"/>
    <w:rsid w:val="002E5F68"/>
    <w:rsid w:val="002E7A2A"/>
    <w:rsid w:val="003048EF"/>
    <w:rsid w:val="003257D4"/>
    <w:rsid w:val="00333A5F"/>
    <w:rsid w:val="00351786"/>
    <w:rsid w:val="00360EE8"/>
    <w:rsid w:val="00391D4A"/>
    <w:rsid w:val="003A5B4D"/>
    <w:rsid w:val="003B6334"/>
    <w:rsid w:val="003C0C59"/>
    <w:rsid w:val="003C6E8B"/>
    <w:rsid w:val="003D3D33"/>
    <w:rsid w:val="00421E65"/>
    <w:rsid w:val="004329BA"/>
    <w:rsid w:val="004360CA"/>
    <w:rsid w:val="004401E0"/>
    <w:rsid w:val="004953C2"/>
    <w:rsid w:val="004A3536"/>
    <w:rsid w:val="004E7665"/>
    <w:rsid w:val="005107BF"/>
    <w:rsid w:val="00534E0F"/>
    <w:rsid w:val="0054084B"/>
    <w:rsid w:val="00553EB3"/>
    <w:rsid w:val="0058748D"/>
    <w:rsid w:val="005A1D35"/>
    <w:rsid w:val="005A53AC"/>
    <w:rsid w:val="005B3A98"/>
    <w:rsid w:val="005B4EDE"/>
    <w:rsid w:val="005D50FC"/>
    <w:rsid w:val="005E408F"/>
    <w:rsid w:val="005E4E4C"/>
    <w:rsid w:val="006023A5"/>
    <w:rsid w:val="00611BAB"/>
    <w:rsid w:val="00612CDF"/>
    <w:rsid w:val="006136A1"/>
    <w:rsid w:val="006171D1"/>
    <w:rsid w:val="006265B7"/>
    <w:rsid w:val="00631251"/>
    <w:rsid w:val="00656096"/>
    <w:rsid w:val="006736DB"/>
    <w:rsid w:val="006C0201"/>
    <w:rsid w:val="006C2813"/>
    <w:rsid w:val="006C4361"/>
    <w:rsid w:val="006E037F"/>
    <w:rsid w:val="006E0DF1"/>
    <w:rsid w:val="006F74F0"/>
    <w:rsid w:val="007051C4"/>
    <w:rsid w:val="00732DB4"/>
    <w:rsid w:val="007361D6"/>
    <w:rsid w:val="007D0F8C"/>
    <w:rsid w:val="007D1965"/>
    <w:rsid w:val="007D7589"/>
    <w:rsid w:val="00800D87"/>
    <w:rsid w:val="008015E9"/>
    <w:rsid w:val="00805293"/>
    <w:rsid w:val="008075F5"/>
    <w:rsid w:val="00835A49"/>
    <w:rsid w:val="008624F9"/>
    <w:rsid w:val="00883999"/>
    <w:rsid w:val="00887C62"/>
    <w:rsid w:val="008B62A8"/>
    <w:rsid w:val="008C6FD7"/>
    <w:rsid w:val="008F349F"/>
    <w:rsid w:val="009030D3"/>
    <w:rsid w:val="009450A9"/>
    <w:rsid w:val="009562D1"/>
    <w:rsid w:val="00960558"/>
    <w:rsid w:val="00981EA9"/>
    <w:rsid w:val="00997D27"/>
    <w:rsid w:val="009A3AEA"/>
    <w:rsid w:val="009B19AB"/>
    <w:rsid w:val="009D6328"/>
    <w:rsid w:val="009E1169"/>
    <w:rsid w:val="009E358B"/>
    <w:rsid w:val="009F7F9C"/>
    <w:rsid w:val="00A15CE1"/>
    <w:rsid w:val="00A826E3"/>
    <w:rsid w:val="00A8491A"/>
    <w:rsid w:val="00AA28E2"/>
    <w:rsid w:val="00AC0C2C"/>
    <w:rsid w:val="00AC778E"/>
    <w:rsid w:val="00AD4887"/>
    <w:rsid w:val="00AF12B2"/>
    <w:rsid w:val="00AF1E6E"/>
    <w:rsid w:val="00AF5BAC"/>
    <w:rsid w:val="00AF6761"/>
    <w:rsid w:val="00B035AD"/>
    <w:rsid w:val="00B11040"/>
    <w:rsid w:val="00B13E83"/>
    <w:rsid w:val="00B312AB"/>
    <w:rsid w:val="00B43CD3"/>
    <w:rsid w:val="00B46B32"/>
    <w:rsid w:val="00B83C46"/>
    <w:rsid w:val="00B87F96"/>
    <w:rsid w:val="00BA6174"/>
    <w:rsid w:val="00C01242"/>
    <w:rsid w:val="00C0429A"/>
    <w:rsid w:val="00C16CAA"/>
    <w:rsid w:val="00C354B8"/>
    <w:rsid w:val="00C3588E"/>
    <w:rsid w:val="00C43E15"/>
    <w:rsid w:val="00C57AC3"/>
    <w:rsid w:val="00C7288C"/>
    <w:rsid w:val="00C746A1"/>
    <w:rsid w:val="00D01A14"/>
    <w:rsid w:val="00D02C2C"/>
    <w:rsid w:val="00D34220"/>
    <w:rsid w:val="00D5003B"/>
    <w:rsid w:val="00D526D2"/>
    <w:rsid w:val="00D53E0D"/>
    <w:rsid w:val="00D5507D"/>
    <w:rsid w:val="00D65A77"/>
    <w:rsid w:val="00D71CC0"/>
    <w:rsid w:val="00DA2AB4"/>
    <w:rsid w:val="00DC19C0"/>
    <w:rsid w:val="00DC335B"/>
    <w:rsid w:val="00DC38B5"/>
    <w:rsid w:val="00E0158F"/>
    <w:rsid w:val="00E138EA"/>
    <w:rsid w:val="00E2432E"/>
    <w:rsid w:val="00E372E2"/>
    <w:rsid w:val="00E47A72"/>
    <w:rsid w:val="00E47DC8"/>
    <w:rsid w:val="00E564A1"/>
    <w:rsid w:val="00E62AC2"/>
    <w:rsid w:val="00E63AB6"/>
    <w:rsid w:val="00E67AA0"/>
    <w:rsid w:val="00E74A56"/>
    <w:rsid w:val="00E75CB2"/>
    <w:rsid w:val="00E842D8"/>
    <w:rsid w:val="00EA7FAB"/>
    <w:rsid w:val="00EC2E00"/>
    <w:rsid w:val="00ED469F"/>
    <w:rsid w:val="00EE3291"/>
    <w:rsid w:val="00EE473C"/>
    <w:rsid w:val="00F1502F"/>
    <w:rsid w:val="00F151D1"/>
    <w:rsid w:val="00F1585B"/>
    <w:rsid w:val="00F379C5"/>
    <w:rsid w:val="00F5127D"/>
    <w:rsid w:val="00F52F54"/>
    <w:rsid w:val="00F534B9"/>
    <w:rsid w:val="00F83768"/>
    <w:rsid w:val="00FA111F"/>
    <w:rsid w:val="00FB61F9"/>
    <w:rsid w:val="00FC2640"/>
    <w:rsid w:val="00FC33C3"/>
    <w:rsid w:val="00FD0643"/>
    <w:rsid w:val="00FD0C56"/>
    <w:rsid w:val="00FD2378"/>
    <w:rsid w:val="00FD4620"/>
    <w:rsid w:val="00FD727E"/>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F4B8"/>
  <w15:chartTrackingRefBased/>
  <w15:docId w15:val="{FAD407B8-BDC2-4AE2-A099-1BFAE41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83"/>
    <w:pPr>
      <w:ind w:left="720"/>
      <w:contextualSpacing/>
    </w:pPr>
  </w:style>
  <w:style w:type="paragraph" w:styleId="Header">
    <w:name w:val="header"/>
    <w:basedOn w:val="Normal"/>
    <w:link w:val="HeaderChar"/>
    <w:uiPriority w:val="99"/>
    <w:unhideWhenUsed/>
    <w:rsid w:val="0004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A1"/>
  </w:style>
  <w:style w:type="paragraph" w:styleId="Footer">
    <w:name w:val="footer"/>
    <w:basedOn w:val="Normal"/>
    <w:link w:val="FooterChar"/>
    <w:uiPriority w:val="99"/>
    <w:unhideWhenUsed/>
    <w:rsid w:val="0004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A1"/>
  </w:style>
  <w:style w:type="paragraph" w:styleId="BalloonText">
    <w:name w:val="Balloon Text"/>
    <w:basedOn w:val="Normal"/>
    <w:link w:val="BalloonTextChar"/>
    <w:uiPriority w:val="99"/>
    <w:semiHidden/>
    <w:unhideWhenUsed/>
    <w:rsid w:val="00273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58"/>
    <w:rPr>
      <w:rFonts w:ascii="Segoe UI" w:hAnsi="Segoe UI" w:cs="Segoe UI"/>
      <w:sz w:val="18"/>
      <w:szCs w:val="18"/>
    </w:rPr>
  </w:style>
  <w:style w:type="paragraph" w:styleId="FootnoteText">
    <w:name w:val="footnote text"/>
    <w:basedOn w:val="Normal"/>
    <w:link w:val="FootnoteTextChar"/>
    <w:uiPriority w:val="99"/>
    <w:semiHidden/>
    <w:unhideWhenUsed/>
    <w:rsid w:val="00FD2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378"/>
    <w:rPr>
      <w:sz w:val="20"/>
      <w:szCs w:val="20"/>
    </w:rPr>
  </w:style>
  <w:style w:type="character" w:styleId="FootnoteReference">
    <w:name w:val="footnote reference"/>
    <w:basedOn w:val="DefaultParagraphFont"/>
    <w:uiPriority w:val="99"/>
    <w:semiHidden/>
    <w:unhideWhenUsed/>
    <w:rsid w:val="00FD2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B368-236A-4AF2-B970-33945703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2</cp:revision>
  <cp:lastPrinted>2019-11-01T18:06:00Z</cp:lastPrinted>
  <dcterms:created xsi:type="dcterms:W3CDTF">2023-03-22T03:19:00Z</dcterms:created>
  <dcterms:modified xsi:type="dcterms:W3CDTF">2023-03-22T03:19:00Z</dcterms:modified>
</cp:coreProperties>
</file>