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A2AE" w14:textId="77777777" w:rsidR="002167E5" w:rsidRPr="002167E5" w:rsidRDefault="002167E5" w:rsidP="002167E5">
      <w:pPr>
        <w:spacing w:after="200" w:line="276" w:lineRule="auto"/>
        <w:jc w:val="center"/>
        <w:rPr>
          <w:rFonts w:ascii="Calibri" w:eastAsia="Times New Roman" w:hAnsi="Calibri" w:cs="Times New Roman"/>
          <w:sz w:val="36"/>
          <w:szCs w:val="36"/>
        </w:rPr>
      </w:pPr>
      <w:r w:rsidRPr="002167E5">
        <w:rPr>
          <w:rFonts w:ascii="Calibri" w:eastAsia="Times New Roman" w:hAnsi="Calibri" w:cs="Times New Roman"/>
          <w:sz w:val="36"/>
          <w:szCs w:val="36"/>
        </w:rPr>
        <w:t>Taxes and Business Strategy</w:t>
      </w:r>
    </w:p>
    <w:p w14:paraId="7EAAC10D" w14:textId="2CAA4638" w:rsidR="002167E5" w:rsidRPr="00211D5A" w:rsidRDefault="002167E5" w:rsidP="002167E5">
      <w:pPr>
        <w:numPr>
          <w:ilvl w:val="0"/>
          <w:numId w:val="1"/>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Chapter 1 -- Introduction to Tax Strategy</w:t>
      </w:r>
      <w:r w:rsidR="007B7012" w:rsidRPr="00211D5A">
        <w:rPr>
          <w:rFonts w:ascii="Calibri" w:eastAsia="Times New Roman" w:hAnsi="Calibri" w:cs="Times New Roman"/>
          <w:sz w:val="24"/>
          <w:szCs w:val="32"/>
        </w:rPr>
        <w:t>: This course is not a substitute for any of the other tax classes. The basic class on Taxation examines a variety of provisions in the Internal Revenue Code including the basic rule</w:t>
      </w:r>
      <w:r w:rsidR="00CF3517" w:rsidRPr="00211D5A">
        <w:rPr>
          <w:rFonts w:ascii="Calibri" w:eastAsia="Times New Roman" w:hAnsi="Calibri" w:cs="Times New Roman"/>
          <w:sz w:val="24"/>
          <w:szCs w:val="32"/>
        </w:rPr>
        <w:t>s</w:t>
      </w:r>
      <w:r w:rsidR="007B7012" w:rsidRPr="00211D5A">
        <w:rPr>
          <w:rFonts w:ascii="Calibri" w:eastAsia="Times New Roman" w:hAnsi="Calibri" w:cs="Times New Roman"/>
          <w:sz w:val="24"/>
          <w:szCs w:val="32"/>
        </w:rPr>
        <w:t>, exceptions to the basic rules, exception</w:t>
      </w:r>
      <w:r w:rsidR="00CF3517" w:rsidRPr="00211D5A">
        <w:rPr>
          <w:rFonts w:ascii="Calibri" w:eastAsia="Times New Roman" w:hAnsi="Calibri" w:cs="Times New Roman"/>
          <w:sz w:val="24"/>
          <w:szCs w:val="32"/>
        </w:rPr>
        <w:t>s</w:t>
      </w:r>
      <w:r w:rsidR="007B7012" w:rsidRPr="00211D5A">
        <w:rPr>
          <w:rFonts w:ascii="Calibri" w:eastAsia="Times New Roman" w:hAnsi="Calibri" w:cs="Times New Roman"/>
          <w:sz w:val="24"/>
          <w:szCs w:val="32"/>
        </w:rPr>
        <w:t xml:space="preserve"> to the exception</w:t>
      </w:r>
      <w:r w:rsidR="00CF3517" w:rsidRPr="00211D5A">
        <w:rPr>
          <w:rFonts w:ascii="Calibri" w:eastAsia="Times New Roman" w:hAnsi="Calibri" w:cs="Times New Roman"/>
          <w:sz w:val="24"/>
          <w:szCs w:val="32"/>
        </w:rPr>
        <w:t>s</w:t>
      </w:r>
      <w:r w:rsidR="007B7012" w:rsidRPr="00211D5A">
        <w:rPr>
          <w:rFonts w:ascii="Calibri" w:eastAsia="Times New Roman" w:hAnsi="Calibri" w:cs="Times New Roman"/>
          <w:sz w:val="24"/>
          <w:szCs w:val="32"/>
        </w:rPr>
        <w:t xml:space="preserve">, etc. Significant time is devoted to considering whether the particular provision can be justified </w:t>
      </w:r>
      <w:proofErr w:type="gramStart"/>
      <w:r w:rsidR="007B7012" w:rsidRPr="00211D5A">
        <w:rPr>
          <w:rFonts w:ascii="Calibri" w:eastAsia="Times New Roman" w:hAnsi="Calibri" w:cs="Times New Roman"/>
          <w:sz w:val="24"/>
          <w:szCs w:val="32"/>
        </w:rPr>
        <w:t>on the basis of</w:t>
      </w:r>
      <w:proofErr w:type="gramEnd"/>
      <w:r w:rsidR="007B7012" w:rsidRPr="00211D5A">
        <w:rPr>
          <w:rFonts w:ascii="Calibri" w:eastAsia="Times New Roman" w:hAnsi="Calibri" w:cs="Times New Roman"/>
          <w:sz w:val="24"/>
          <w:szCs w:val="32"/>
        </w:rPr>
        <w:t xml:space="preserve"> equity, efficiency or simplicity. Alternatives are examined. The same basic technique is pursued in the advanced courses on Corporate Tax, Partnership Tax, and International Taxation. Those courses are no</w:t>
      </w:r>
      <w:r w:rsidR="00CF3517" w:rsidRPr="00211D5A">
        <w:rPr>
          <w:rFonts w:ascii="Calibri" w:eastAsia="Times New Roman" w:hAnsi="Calibri" w:cs="Times New Roman"/>
          <w:sz w:val="24"/>
          <w:szCs w:val="32"/>
        </w:rPr>
        <w:t>t</w:t>
      </w:r>
      <w:r w:rsidR="007B7012" w:rsidRPr="00211D5A">
        <w:rPr>
          <w:rFonts w:ascii="Calibri" w:eastAsia="Times New Roman" w:hAnsi="Calibri" w:cs="Times New Roman"/>
          <w:sz w:val="24"/>
          <w:szCs w:val="32"/>
        </w:rPr>
        <w:t xml:space="preserve"> primarily planning courses. This course is complementary to those other courses: we use a much-simplified version of the tax rules and then we consider varies strategies that maximize after-tax returns. </w:t>
      </w:r>
      <w:r w:rsidR="00CF3517" w:rsidRPr="00211D5A">
        <w:rPr>
          <w:rFonts w:ascii="Calibri" w:eastAsia="Times New Roman" w:hAnsi="Calibri" w:cs="Times New Roman"/>
          <w:sz w:val="24"/>
          <w:szCs w:val="32"/>
        </w:rPr>
        <w:t>An</w:t>
      </w:r>
      <w:r w:rsidR="007B7012" w:rsidRPr="00211D5A">
        <w:rPr>
          <w:rFonts w:ascii="Calibri" w:eastAsia="Times New Roman" w:hAnsi="Calibri" w:cs="Times New Roman"/>
          <w:sz w:val="24"/>
          <w:szCs w:val="32"/>
        </w:rPr>
        <w:t xml:space="preserve"> especially important part of this course is that we consider the tax positions of all parties to the transaction.</w:t>
      </w:r>
    </w:p>
    <w:p w14:paraId="77BD19BD" w14:textId="77777777" w:rsidR="002167E5" w:rsidRPr="00211D5A" w:rsidRDefault="002167E5" w:rsidP="002167E5">
      <w:pPr>
        <w:numPr>
          <w:ilvl w:val="1"/>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Themes of the Book</w:t>
      </w:r>
    </w:p>
    <w:p w14:paraId="2C9157FB"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Overview</w:t>
      </w:r>
    </w:p>
    <w:p w14:paraId="5EE8F673"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Why is it important to consider the tax consequences to </w:t>
      </w:r>
      <w:r w:rsidRPr="00211D5A">
        <w:rPr>
          <w:rFonts w:ascii="Calibri" w:eastAsia="Times New Roman" w:hAnsi="Calibri" w:cs="Times New Roman"/>
          <w:sz w:val="24"/>
          <w:szCs w:val="32"/>
          <w:u w:val="single"/>
        </w:rPr>
        <w:t>all</w:t>
      </w:r>
      <w:r w:rsidRPr="00211D5A">
        <w:rPr>
          <w:rFonts w:ascii="Calibri" w:eastAsia="Times New Roman" w:hAnsi="Calibri" w:cs="Times New Roman"/>
          <w:sz w:val="24"/>
          <w:szCs w:val="32"/>
        </w:rPr>
        <w:t xml:space="preserve"> parties to a transaction? Consensual transactions are all about deciding how to divide a pie: taxes paid by any party are unavailable to be split. Thus, in a perfect world the parties would maximize the size of the pie and then agree on how to split it. However, if side payments are costly to make, minimizing the joint tax liability might </w:t>
      </w:r>
      <w:proofErr w:type="gramStart"/>
      <w:r w:rsidRPr="00211D5A">
        <w:rPr>
          <w:rFonts w:ascii="Calibri" w:eastAsia="Times New Roman" w:hAnsi="Calibri" w:cs="Times New Roman"/>
          <w:sz w:val="24"/>
          <w:szCs w:val="32"/>
        </w:rPr>
        <w:t>actually worsen</w:t>
      </w:r>
      <w:proofErr w:type="gramEnd"/>
      <w:r w:rsidRPr="00211D5A">
        <w:rPr>
          <w:rFonts w:ascii="Calibri" w:eastAsia="Times New Roman" w:hAnsi="Calibri" w:cs="Times New Roman"/>
          <w:sz w:val="24"/>
          <w:szCs w:val="32"/>
        </w:rPr>
        <w:t xml:space="preserve"> some of the parties.</w:t>
      </w:r>
    </w:p>
    <w:p w14:paraId="2A437172"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We usually use the term “explicit taxes” to refer to actual tax payments to a governmental authority and “implicit taxes” to refer to the difference between a </w:t>
      </w:r>
      <w:proofErr w:type="gramStart"/>
      <w:r w:rsidRPr="00211D5A">
        <w:rPr>
          <w:rFonts w:ascii="Calibri" w:eastAsia="Times New Roman" w:hAnsi="Calibri" w:cs="Times New Roman"/>
          <w:sz w:val="24"/>
          <w:szCs w:val="32"/>
        </w:rPr>
        <w:t>fully-taxable</w:t>
      </w:r>
      <w:proofErr w:type="gramEnd"/>
      <w:r w:rsidRPr="00211D5A">
        <w:rPr>
          <w:rFonts w:ascii="Calibri" w:eastAsia="Times New Roman" w:hAnsi="Calibri" w:cs="Times New Roman"/>
          <w:sz w:val="24"/>
          <w:szCs w:val="32"/>
        </w:rPr>
        <w:t xml:space="preserve"> return and the lower pre-tax return generated by a tax-preferred activity.</w:t>
      </w:r>
      <w:r w:rsidR="00DF2AE0" w:rsidRPr="00211D5A">
        <w:rPr>
          <w:rFonts w:ascii="Calibri" w:eastAsia="Times New Roman" w:hAnsi="Calibri" w:cs="Times New Roman"/>
          <w:sz w:val="24"/>
          <w:szCs w:val="32"/>
        </w:rPr>
        <w:t xml:space="preserve"> For example, if the interest received from fully taxable bonds pays 10% while the interest received on bonds issued by state and local governments which is exempt from tax pays 8%, there is a 20% implicit tax on the exempt interest (because (10% minus 8%) divided by 10% equals 20%). </w:t>
      </w:r>
    </w:p>
    <w:p w14:paraId="7863E9D1" w14:textId="758EA86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Not</w:t>
      </w:r>
      <w:r w:rsidR="00E105AC" w:rsidRPr="00211D5A">
        <w:rPr>
          <w:rFonts w:ascii="Calibri" w:eastAsia="Times New Roman" w:hAnsi="Calibri" w:cs="Times New Roman"/>
          <w:sz w:val="24"/>
          <w:szCs w:val="32"/>
        </w:rPr>
        <w:t>e</w:t>
      </w:r>
      <w:r w:rsidRPr="00211D5A">
        <w:rPr>
          <w:rFonts w:ascii="Calibri" w:eastAsia="Times New Roman" w:hAnsi="Calibri" w:cs="Times New Roman"/>
          <w:sz w:val="24"/>
          <w:szCs w:val="32"/>
        </w:rPr>
        <w:t xml:space="preserve"> that effective tax planning is not the same as minimizing explicit taxes or even minimizing both explicit and implicit taxes of one party or even of all the parties. Effective tax planning requires all costs to be considered including explicit taxes, implicit taxes, and all other costs that vary across different business opportunities. The ideal goal is to maximize the joint after-tax return to all parties </w:t>
      </w:r>
      <w:proofErr w:type="gramStart"/>
      <w:r w:rsidRPr="00211D5A">
        <w:rPr>
          <w:rFonts w:ascii="Calibri" w:eastAsia="Times New Roman" w:hAnsi="Calibri" w:cs="Times New Roman"/>
          <w:sz w:val="24"/>
          <w:szCs w:val="32"/>
        </w:rPr>
        <w:t>taking into account</w:t>
      </w:r>
      <w:proofErr w:type="gramEnd"/>
      <w:r w:rsidRPr="00211D5A">
        <w:rPr>
          <w:rFonts w:ascii="Calibri" w:eastAsia="Times New Roman" w:hAnsi="Calibri" w:cs="Times New Roman"/>
          <w:sz w:val="24"/>
          <w:szCs w:val="32"/>
        </w:rPr>
        <w:t xml:space="preserve"> all costs.</w:t>
      </w:r>
    </w:p>
    <w:p w14:paraId="2C0DFB1A"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lastRenderedPageBreak/>
        <w:t>Taxing Authority as Investment Partner: One can think of the taxing authority as a nonvoting equity investor. This is a fair description, however, only if losses are allowable without limitation: if gains are taxable but losses are not deductible, the taxing authority has what amounts to a profits interest in the venture. Assuming losses are allowable without limitation and that extraordinary returns to capital average zero, then the effective rate on extraordinary returns is zero regardless of the nominal tax rate. Why?</w:t>
      </w:r>
    </w:p>
    <w:p w14:paraId="2F66D7CF"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To the extent that tax rules are designed to encourage or discourage certain behaviors, then the tax rules are substitutes for other incentive structures. For example, in lieu of exempting interest on state and local bonds from the federal income tax, Congress could provide a direct subsidy of state and local borrowing costs. What are the pros and cons of replacing the current exemption with a direct subsidy? Note that the </w:t>
      </w:r>
      <w:r w:rsidR="00DF2AE0" w:rsidRPr="00211D5A">
        <w:rPr>
          <w:rFonts w:ascii="Calibri" w:eastAsia="Times New Roman" w:hAnsi="Calibri" w:cs="Times New Roman"/>
          <w:sz w:val="24"/>
          <w:szCs w:val="32"/>
        </w:rPr>
        <w:t xml:space="preserve">ACA (i.e., </w:t>
      </w:r>
      <w:proofErr w:type="spellStart"/>
      <w:r w:rsidR="00DF2AE0" w:rsidRPr="00211D5A">
        <w:rPr>
          <w:rFonts w:ascii="Calibri" w:eastAsia="Times New Roman" w:hAnsi="Calibri" w:cs="Times New Roman"/>
          <w:sz w:val="24"/>
          <w:szCs w:val="32"/>
        </w:rPr>
        <w:t>ObamaCare</w:t>
      </w:r>
      <w:proofErr w:type="spellEnd"/>
      <w:r w:rsidR="00DF2AE0" w:rsidRPr="00211D5A">
        <w:rPr>
          <w:rFonts w:ascii="Calibri" w:eastAsia="Times New Roman" w:hAnsi="Calibri" w:cs="Times New Roman"/>
          <w:sz w:val="24"/>
          <w:szCs w:val="32"/>
        </w:rPr>
        <w:t>) as originally enacted</w:t>
      </w:r>
      <w:r w:rsidRPr="00211D5A">
        <w:rPr>
          <w:rFonts w:ascii="Calibri" w:eastAsia="Times New Roman" w:hAnsi="Calibri" w:cs="Times New Roman"/>
          <w:sz w:val="24"/>
          <w:szCs w:val="32"/>
        </w:rPr>
        <w:t xml:space="preserve"> impose</w:t>
      </w:r>
      <w:r w:rsidR="00DF2AE0" w:rsidRPr="00211D5A">
        <w:rPr>
          <w:rFonts w:ascii="Calibri" w:eastAsia="Times New Roman" w:hAnsi="Calibri" w:cs="Times New Roman"/>
          <w:sz w:val="24"/>
          <w:szCs w:val="32"/>
        </w:rPr>
        <w:t>d</w:t>
      </w:r>
      <w:r w:rsidRPr="00211D5A">
        <w:rPr>
          <w:rFonts w:ascii="Calibri" w:eastAsia="Times New Roman" w:hAnsi="Calibri" w:cs="Times New Roman"/>
          <w:sz w:val="24"/>
          <w:szCs w:val="32"/>
        </w:rPr>
        <w:t xml:space="preserve"> a tax on employers who do not provide health care benefits and on individuals who do not buy health care. Could such a system be replaced with some alternate mechanism?</w:t>
      </w:r>
    </w:p>
    <w:p w14:paraId="1771DEFE"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To the extent that taxpayers incur costs to benefit from tax expenditures, society incurs a deadweight loss: that is, funds are spent without any pre-tax productivity. Consider an employer who can purchase a health insurance policy for a healthy employee. The policy costs the employer $100 per month, is worth $80 per month to the employee, and cash compensation is taxable to the employee at 28% while employer-provided health benefits are excludible</w:t>
      </w:r>
      <w:r w:rsidR="00532643" w:rsidRPr="00211D5A">
        <w:rPr>
          <w:rFonts w:ascii="Calibri" w:eastAsia="Times New Roman" w:hAnsi="Calibri" w:cs="Times New Roman"/>
          <w:sz w:val="24"/>
          <w:szCs w:val="32"/>
        </w:rPr>
        <w:t xml:space="preserve"> from the employee’s income</w:t>
      </w:r>
      <w:r w:rsidRPr="00211D5A">
        <w:rPr>
          <w:rFonts w:ascii="Calibri" w:eastAsia="Times New Roman" w:hAnsi="Calibri" w:cs="Times New Roman"/>
          <w:sz w:val="24"/>
          <w:szCs w:val="32"/>
        </w:rPr>
        <w:t>. Assuming the employer can deduct the cost of fringe benefits as well as cash compensation, what actions will be taken? What is the amount of the deadweight loss? ($20)</w:t>
      </w:r>
    </w:p>
    <w:p w14:paraId="068471FF"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The Importance of a Contractual Perspective</w:t>
      </w:r>
    </w:p>
    <w:p w14:paraId="2215EE33"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Negotiating strategy starts with identifying those things most important to your client yet likely unimportant to the counterparty as well as things important to the counterparty yet unimportant to your client. Why?</w:t>
      </w:r>
    </w:p>
    <w:p w14:paraId="3E5FD499"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Can this be extended to a negotiation involving one element? </w:t>
      </w:r>
      <w:proofErr w:type="gramStart"/>
      <w:r w:rsidRPr="00211D5A">
        <w:rPr>
          <w:rFonts w:ascii="Calibri" w:eastAsia="Times New Roman" w:hAnsi="Calibri" w:cs="Times New Roman"/>
          <w:sz w:val="24"/>
          <w:szCs w:val="32"/>
        </w:rPr>
        <w:t>Company</w:t>
      </w:r>
      <w:proofErr w:type="gramEnd"/>
      <w:r w:rsidRPr="00211D5A">
        <w:rPr>
          <w:rFonts w:ascii="Calibri" w:eastAsia="Times New Roman" w:hAnsi="Calibri" w:cs="Times New Roman"/>
          <w:sz w:val="24"/>
          <w:szCs w:val="32"/>
        </w:rPr>
        <w:t xml:space="preserve"> is negotiating a new contract with labor. Company says that if labor costs are not reduced, bankruptcy will result; labor </w:t>
      </w:r>
      <w:r w:rsidRPr="00211D5A">
        <w:rPr>
          <w:rFonts w:ascii="Calibri" w:eastAsia="Times New Roman" w:hAnsi="Calibri" w:cs="Times New Roman"/>
          <w:sz w:val="24"/>
          <w:szCs w:val="32"/>
        </w:rPr>
        <w:lastRenderedPageBreak/>
        <w:t>says that Company will make a healthy profit and some of that anticipated pro</w:t>
      </w:r>
      <w:r w:rsidR="00794F16" w:rsidRPr="00211D5A">
        <w:rPr>
          <w:rFonts w:ascii="Calibri" w:eastAsia="Times New Roman" w:hAnsi="Calibri" w:cs="Times New Roman"/>
          <w:sz w:val="24"/>
          <w:szCs w:val="32"/>
        </w:rPr>
        <w:t>fit</w:t>
      </w:r>
      <w:r w:rsidRPr="00211D5A">
        <w:rPr>
          <w:rFonts w:ascii="Calibri" w:eastAsia="Times New Roman" w:hAnsi="Calibri" w:cs="Times New Roman"/>
          <w:sz w:val="24"/>
          <w:szCs w:val="32"/>
        </w:rPr>
        <w:t xml:space="preserve"> should be captured by labor. How should this negotiation end, assuming all other costs are fixed?</w:t>
      </w:r>
    </w:p>
    <w:p w14:paraId="7D6BC2A7"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Should a low bracket taxpayer purchase state or local bonds? If a low-bracket taxpayer inherits state or local bonds, what should the taxpayer do?</w:t>
      </w:r>
    </w:p>
    <w:p w14:paraId="2A176F0A" w14:textId="66E1033F"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Assume the cost of business equipment and machinery can be deducted more quickly than the assets </w:t>
      </w:r>
      <w:proofErr w:type="gramStart"/>
      <w:r w:rsidRPr="00211D5A">
        <w:rPr>
          <w:rFonts w:ascii="Calibri" w:eastAsia="Times New Roman" w:hAnsi="Calibri" w:cs="Times New Roman"/>
          <w:sz w:val="24"/>
          <w:szCs w:val="32"/>
        </w:rPr>
        <w:t>actually depreciate</w:t>
      </w:r>
      <w:proofErr w:type="gramEnd"/>
      <w:r w:rsidRPr="00211D5A">
        <w:rPr>
          <w:rFonts w:ascii="Calibri" w:eastAsia="Times New Roman" w:hAnsi="Calibri" w:cs="Times New Roman"/>
          <w:sz w:val="24"/>
          <w:szCs w:val="32"/>
        </w:rPr>
        <w:t xml:space="preserve">; that is, assume that such assets are tax-preferred in that net income from productive use of such assets can be deferred. What should a company do if it needs to employ such assets but anticipates incurring tax losses in the next few years? In other words, how can </w:t>
      </w:r>
      <w:proofErr w:type="gramStart"/>
      <w:r w:rsidRPr="00211D5A">
        <w:rPr>
          <w:rFonts w:ascii="Calibri" w:eastAsia="Times New Roman" w:hAnsi="Calibri" w:cs="Times New Roman"/>
          <w:sz w:val="24"/>
          <w:szCs w:val="32"/>
        </w:rPr>
        <w:t>the depreciation</w:t>
      </w:r>
      <w:proofErr w:type="gramEnd"/>
      <w:r w:rsidRPr="00211D5A">
        <w:rPr>
          <w:rFonts w:ascii="Calibri" w:eastAsia="Times New Roman" w:hAnsi="Calibri" w:cs="Times New Roman"/>
          <w:sz w:val="24"/>
          <w:szCs w:val="32"/>
        </w:rPr>
        <w:t xml:space="preserve"> deductions be sold?</w:t>
      </w:r>
    </w:p>
    <w:p w14:paraId="600B9B89" w14:textId="77777777" w:rsidR="002167E5" w:rsidRPr="00211D5A" w:rsidRDefault="002167E5" w:rsidP="002167E5">
      <w:pPr>
        <w:numPr>
          <w:ilvl w:val="1"/>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Why Do Tax Rules Influence Before-Tax Rates of Return and Investment Decisions? It is clear the tax rules affect after-tax investment returns, but it is less obvious why tax rules affect before-tax investment returns.</w:t>
      </w:r>
      <w:r w:rsidRPr="00211D5A">
        <w:rPr>
          <w:rFonts w:ascii="Calibri" w:eastAsia="Times New Roman" w:hAnsi="Calibri" w:cs="Times New Roman"/>
          <w:i/>
          <w:iCs/>
          <w:sz w:val="24"/>
          <w:szCs w:val="32"/>
        </w:rPr>
        <w:t xml:space="preserve"> The answer is that in a competitive market all investments should yield the same after-tax return (after allowing for risk).</w:t>
      </w:r>
      <w:r w:rsidRPr="00211D5A">
        <w:rPr>
          <w:rFonts w:ascii="Calibri" w:eastAsia="Times New Roman" w:hAnsi="Calibri" w:cs="Times New Roman"/>
          <w:sz w:val="24"/>
          <w:szCs w:val="32"/>
        </w:rPr>
        <w:t xml:space="preserve"> Why? Because any investment that yields a higher return will see its price bid-up as investors chase that above-market return, </w:t>
      </w:r>
      <w:r w:rsidR="001827C2" w:rsidRPr="00211D5A">
        <w:rPr>
          <w:rFonts w:ascii="Calibri" w:eastAsia="Times New Roman" w:hAnsi="Calibri" w:cs="Times New Roman"/>
          <w:sz w:val="24"/>
          <w:szCs w:val="32"/>
        </w:rPr>
        <w:t xml:space="preserve">this will </w:t>
      </w:r>
      <w:r w:rsidRPr="00211D5A">
        <w:rPr>
          <w:rFonts w:ascii="Calibri" w:eastAsia="Times New Roman" w:hAnsi="Calibri" w:cs="Times New Roman"/>
          <w:sz w:val="24"/>
          <w:szCs w:val="32"/>
        </w:rPr>
        <w:t>eventually result in a market return once the market-clearing price is reached. Similarly, an investment paying a below-market after-tax return will see its price decline until it reaches a market-clearing price yielding a market return.</w:t>
      </w:r>
    </w:p>
    <w:p w14:paraId="385ACCDB"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Implicit Taxes and Tax Clienteles: We have already seen that pre-tax preferences and pre-tax disabilities should yield implicit taxes and implicit subsidies. Taxpayers whose individual circumstances make specific investment more desirable to them than to others are referred to as tax clienteles of the tax item.</w:t>
      </w:r>
    </w:p>
    <w:p w14:paraId="0E71D197"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Tax Planning as a Tax-Favored Activity: A taxpayer has $10,000 to invest. Investment #1 will increase by 50%, fully taxable at 40%, while investment #2 will allow the taxpayer to amend her tax return for the prior year and get a refund of $10,000. Which is the better investment? Assume the appropriate discount rate is 10% per year.</w:t>
      </w:r>
    </w:p>
    <w:p w14:paraId="3F825423"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Investment #1: The taxpayer will invest $10,000 to get $15,000 after one year. The taxpayer will pay $2,000 in taxes on the gain of $5,000, leaving the taxpayer with an after-tax return of $13,000. That is an annual after-tax return of 30%, and represents an immediate, discounted return of $11,818 ($13,000 discounted for one year at 10%).</w:t>
      </w:r>
    </w:p>
    <w:p w14:paraId="05E2AB18"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lastRenderedPageBreak/>
        <w:t xml:space="preserve">Investment #2: The taxpayer will invest $10,000 on tax advice, and tax advice is deductible. Accordingly, after one year the taxpayer will have the refund of $10,000 </w:t>
      </w:r>
      <w:r w:rsidR="00137C98" w:rsidRPr="00211D5A">
        <w:rPr>
          <w:rFonts w:ascii="Calibri" w:eastAsia="Times New Roman" w:hAnsi="Calibri" w:cs="Times New Roman"/>
          <w:sz w:val="24"/>
          <w:szCs w:val="32"/>
        </w:rPr>
        <w:t xml:space="preserve">(federal tax refunds are not subject to tax) </w:t>
      </w:r>
      <w:r w:rsidRPr="00211D5A">
        <w:rPr>
          <w:rFonts w:ascii="Calibri" w:eastAsia="Times New Roman" w:hAnsi="Calibri" w:cs="Times New Roman"/>
          <w:sz w:val="24"/>
          <w:szCs w:val="32"/>
        </w:rPr>
        <w:t>as well as a deduction of $10,000 worth $4,000 after-taxes.  Thus, the discounted value of the advice is $14,000</w:t>
      </w:r>
      <w:r w:rsidR="00137C98" w:rsidRPr="00211D5A">
        <w:rPr>
          <w:rFonts w:ascii="Calibri" w:eastAsia="Times New Roman" w:hAnsi="Calibri" w:cs="Times New Roman"/>
          <w:sz w:val="24"/>
          <w:szCs w:val="32"/>
        </w:rPr>
        <w:t xml:space="preserve"> discounted</w:t>
      </w:r>
      <w:r w:rsidRPr="00211D5A">
        <w:rPr>
          <w:rFonts w:ascii="Calibri" w:eastAsia="Times New Roman" w:hAnsi="Calibri" w:cs="Times New Roman"/>
          <w:sz w:val="24"/>
          <w:szCs w:val="32"/>
        </w:rPr>
        <w:t xml:space="preserve"> by 10% for one year, or $12,727.</w:t>
      </w:r>
    </w:p>
    <w:p w14:paraId="63CA6C2B" w14:textId="5A68F630" w:rsidR="002167E5" w:rsidRPr="00211D5A" w:rsidRDefault="002167E5" w:rsidP="00943E09">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Why does investment #2 have a zero pre-tax return but a 40% after-tax </w:t>
      </w:r>
      <w:r w:rsidR="00137C98" w:rsidRPr="00211D5A">
        <w:rPr>
          <w:rFonts w:ascii="Calibri" w:eastAsia="Times New Roman" w:hAnsi="Calibri" w:cs="Times New Roman"/>
          <w:sz w:val="24"/>
          <w:szCs w:val="32"/>
        </w:rPr>
        <w:t xml:space="preserve">(undiscounted) </w:t>
      </w:r>
      <w:r w:rsidRPr="00211D5A">
        <w:rPr>
          <w:rFonts w:ascii="Calibri" w:eastAsia="Times New Roman" w:hAnsi="Calibri" w:cs="Times New Roman"/>
          <w:sz w:val="24"/>
          <w:szCs w:val="32"/>
        </w:rPr>
        <w:t xml:space="preserve">return? </w:t>
      </w:r>
      <w:r w:rsidR="00137C98" w:rsidRPr="00211D5A">
        <w:rPr>
          <w:rFonts w:ascii="Calibri" w:eastAsia="Times New Roman" w:hAnsi="Calibri" w:cs="Times New Roman"/>
          <w:sz w:val="24"/>
          <w:szCs w:val="32"/>
        </w:rPr>
        <w:t xml:space="preserve">Note: While tax advice nominally remains deductible (section 212(3) of the I.R.C.), for individuals who receive advice about investment activity rather than about the operation of a business, that deduction is now disallowed in full (section 67(g) of the I.R.C.). And while neither the statute not the courts have clearly defined the difference between business activity and mere investment activity, the Supreme Court has ruled that buying and selling stocks for one’s own account always is investment activity regardless of </w:t>
      </w:r>
      <w:r w:rsidR="00B23C6B" w:rsidRPr="00211D5A">
        <w:rPr>
          <w:rFonts w:ascii="Calibri" w:eastAsia="Times New Roman" w:hAnsi="Calibri" w:cs="Times New Roman"/>
          <w:sz w:val="24"/>
          <w:szCs w:val="32"/>
        </w:rPr>
        <w:t xml:space="preserve">how </w:t>
      </w:r>
      <w:r w:rsidR="00137C98" w:rsidRPr="00211D5A">
        <w:rPr>
          <w:rFonts w:ascii="Calibri" w:eastAsia="Times New Roman" w:hAnsi="Calibri" w:cs="Times New Roman"/>
          <w:sz w:val="24"/>
          <w:szCs w:val="32"/>
        </w:rPr>
        <w:t>often shares are bought and sold.</w:t>
      </w:r>
    </w:p>
    <w:p w14:paraId="67A48D27" w14:textId="77777777" w:rsidR="002167E5" w:rsidRPr="00211D5A" w:rsidRDefault="002167E5" w:rsidP="002167E5">
      <w:pPr>
        <w:numPr>
          <w:ilvl w:val="1"/>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Intended Audience</w:t>
      </w:r>
      <w:r w:rsidR="00943E09" w:rsidRPr="00211D5A">
        <w:rPr>
          <w:rFonts w:ascii="Calibri" w:eastAsia="Times New Roman" w:hAnsi="Calibri" w:cs="Times New Roman"/>
          <w:sz w:val="24"/>
          <w:szCs w:val="32"/>
        </w:rPr>
        <w:t xml:space="preserve"> for this Book:</w:t>
      </w:r>
    </w:p>
    <w:p w14:paraId="2EC801B6"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Tax Rates: Note </w:t>
      </w:r>
      <w:proofErr w:type="gramStart"/>
      <w:r w:rsidRPr="00211D5A">
        <w:rPr>
          <w:rFonts w:ascii="Calibri" w:eastAsia="Times New Roman" w:hAnsi="Calibri" w:cs="Times New Roman"/>
          <w:sz w:val="24"/>
          <w:szCs w:val="32"/>
        </w:rPr>
        <w:t>the table</w:t>
      </w:r>
      <w:proofErr w:type="gramEnd"/>
      <w:r w:rsidRPr="00211D5A">
        <w:rPr>
          <w:rFonts w:ascii="Calibri" w:eastAsia="Times New Roman" w:hAnsi="Calibri" w:cs="Times New Roman"/>
          <w:sz w:val="24"/>
          <w:szCs w:val="32"/>
        </w:rPr>
        <w:t xml:space="preserve"> 1.1 at page </w:t>
      </w:r>
      <w:r w:rsidR="00943E09" w:rsidRPr="00211D5A">
        <w:rPr>
          <w:rFonts w:ascii="Calibri" w:eastAsia="Times New Roman" w:hAnsi="Calibri" w:cs="Times New Roman"/>
          <w:sz w:val="24"/>
          <w:szCs w:val="32"/>
        </w:rPr>
        <w:t>1-9</w:t>
      </w:r>
      <w:r w:rsidRPr="00211D5A">
        <w:rPr>
          <w:rFonts w:ascii="Calibri" w:eastAsia="Times New Roman" w:hAnsi="Calibri" w:cs="Times New Roman"/>
          <w:sz w:val="24"/>
          <w:szCs w:val="32"/>
        </w:rPr>
        <w:t>. Treating tax planning as a deadweight loss, what can Congress do to reduce this loss? Reduce rates and broaden the base.</w:t>
      </w:r>
    </w:p>
    <w:p w14:paraId="49F67636"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In many circumstances, tax benefits cannot formally be sold. For example, a state or local government cannot simply sell its ability to issue tax-exempt securities. How might such a synthetic sale be structured? Find a company that needs to borrow money, then agree to become the lender to such company at the tax-exempt rate in exchange for some form of consideration such as the construction of roads or schools or the promise of local employment.</w:t>
      </w:r>
    </w:p>
    <w:p w14:paraId="0F21E052" w14:textId="77777777" w:rsidR="002167E5" w:rsidRPr="00211D5A" w:rsidRDefault="002167E5" w:rsidP="002167E5">
      <w:pPr>
        <w:numPr>
          <w:ilvl w:val="1"/>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Discussion Questions</w:t>
      </w:r>
      <w:r w:rsidR="00F02858" w:rsidRPr="00211D5A">
        <w:rPr>
          <w:rFonts w:ascii="Calibri" w:eastAsia="Times New Roman" w:hAnsi="Calibri" w:cs="Times New Roman"/>
          <w:sz w:val="24"/>
          <w:szCs w:val="32"/>
        </w:rPr>
        <w:t xml:space="preserve"> (p. 11)</w:t>
      </w:r>
    </w:p>
    <w:p w14:paraId="21A75014"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Question 1: Tax minimization focuses on only one cost: taxes. But implementing a tax minimizing strategy may require payments to lawyers and financial advisors, payments that might dominate the tax savings. In addition, adopting a tax minimizing strategy might be inconsistent with business goals because it might require changing vendors, disappointing employees, or losing valuable business reputation.</w:t>
      </w:r>
      <w:r w:rsidR="00B37110" w:rsidRPr="00211D5A">
        <w:rPr>
          <w:rFonts w:ascii="Calibri" w:eastAsia="Times New Roman" w:hAnsi="Calibri" w:cs="Times New Roman"/>
          <w:sz w:val="24"/>
          <w:szCs w:val="32"/>
        </w:rPr>
        <w:t xml:space="preserve"> Finally, because explicit taxes affect pre-tax rates of return, minimizing explicit taxes alone might also reduce investment returns</w:t>
      </w:r>
      <w:r w:rsidR="0048683A" w:rsidRPr="00211D5A">
        <w:rPr>
          <w:rFonts w:ascii="Calibri" w:eastAsia="Times New Roman" w:hAnsi="Calibri" w:cs="Times New Roman"/>
          <w:sz w:val="24"/>
          <w:szCs w:val="32"/>
        </w:rPr>
        <w:t>.</w:t>
      </w:r>
    </w:p>
    <w:p w14:paraId="2AB7E223" w14:textId="38665AA9" w:rsidR="0048683A" w:rsidRPr="00211D5A" w:rsidRDefault="0048683A"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lastRenderedPageBreak/>
        <w:t>Question 2: If the activity is socially desirable and the cost of providing a direct subsidy is expensive, using the tax rules to encourage the productive activity might be the cheapest way for the government to produce the desirable activity. In addition, if the proper level of the activity is dependent on the preferences of taxpayers, subsidizing the activity through tax rules may permit taxpayers to demonstrate their preferences to enjoy the subsidy. Consider the deduction given to charitable contributions. It could be replaced by direct government subsidies, but which charities should enjoy a subsidy and how much such be given to each charitable organization? By giving the subsidy to taxpayer</w:t>
      </w:r>
      <w:r w:rsidR="00BB1DF3" w:rsidRPr="00211D5A">
        <w:rPr>
          <w:rFonts w:ascii="Calibri" w:eastAsia="Times New Roman" w:hAnsi="Calibri" w:cs="Times New Roman"/>
          <w:sz w:val="24"/>
          <w:szCs w:val="32"/>
        </w:rPr>
        <w:t>s</w:t>
      </w:r>
      <w:r w:rsidRPr="00211D5A">
        <w:rPr>
          <w:rFonts w:ascii="Calibri" w:eastAsia="Times New Roman" w:hAnsi="Calibri" w:cs="Times New Roman"/>
          <w:sz w:val="24"/>
          <w:szCs w:val="32"/>
        </w:rPr>
        <w:t>, the</w:t>
      </w:r>
      <w:r w:rsidR="00BB1DF3" w:rsidRPr="00211D5A">
        <w:rPr>
          <w:rFonts w:ascii="Calibri" w:eastAsia="Times New Roman" w:hAnsi="Calibri" w:cs="Times New Roman"/>
          <w:sz w:val="24"/>
          <w:szCs w:val="32"/>
        </w:rPr>
        <w:t xml:space="preserve"> taxpayers</w:t>
      </w:r>
      <w:r w:rsidRPr="00211D5A">
        <w:rPr>
          <w:rFonts w:ascii="Calibri" w:eastAsia="Times New Roman" w:hAnsi="Calibri" w:cs="Times New Roman"/>
          <w:sz w:val="24"/>
          <w:szCs w:val="32"/>
        </w:rPr>
        <w:t xml:space="preserve"> in effect direct government expenditures by giving to their preferred charitable or</w:t>
      </w:r>
      <w:r w:rsidR="002C2131" w:rsidRPr="00211D5A">
        <w:rPr>
          <w:rFonts w:ascii="Calibri" w:eastAsia="Times New Roman" w:hAnsi="Calibri" w:cs="Times New Roman"/>
          <w:sz w:val="24"/>
          <w:szCs w:val="32"/>
        </w:rPr>
        <w:t>g</w:t>
      </w:r>
      <w:r w:rsidRPr="00211D5A">
        <w:rPr>
          <w:rFonts w:ascii="Calibri" w:eastAsia="Times New Roman" w:hAnsi="Calibri" w:cs="Times New Roman"/>
          <w:sz w:val="24"/>
          <w:szCs w:val="32"/>
        </w:rPr>
        <w:t>anizations.</w:t>
      </w:r>
    </w:p>
    <w:p w14:paraId="6B6B2E81" w14:textId="77777777" w:rsidR="009D2917" w:rsidRPr="00211D5A" w:rsidRDefault="009D2917" w:rsidP="009D2917">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Question 3: (1) State and local bonds, (2) depreciable equipment and machinery, (3) business research and development, (4) low-income housing, and (5) educational institutions.</w:t>
      </w:r>
    </w:p>
    <w:p w14:paraId="09E40A3F" w14:textId="77777777" w:rsidR="009D2917" w:rsidRPr="00211D5A" w:rsidRDefault="009D2917" w:rsidP="009D2917">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Part (a): (1) yes; (2) unclear; (3) unclear; (4) yes; and (5) probably not.</w:t>
      </w:r>
    </w:p>
    <w:p w14:paraId="0C69BE46" w14:textId="77777777" w:rsidR="009D2917" w:rsidRPr="00211D5A" w:rsidRDefault="009D2917" w:rsidP="009D2917">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Part (b): (1) high-bracket investors; (2) businesses with needs for durable equipment; (3) high-tech businesses; (4) taxable real estate investors; and (5) students who are admitted to underpriced educational institutions.</w:t>
      </w:r>
    </w:p>
    <w:p w14:paraId="4FB53D6C" w14:textId="77777777" w:rsidR="009D2917" w:rsidRPr="00211D5A" w:rsidRDefault="009D2917" w:rsidP="009D2917">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Part (c): (1) the bond issuers; (2) the equipment manufacturers; (3) scientists and other </w:t>
      </w:r>
      <w:proofErr w:type="gramStart"/>
      <w:r w:rsidRPr="00211D5A">
        <w:rPr>
          <w:rFonts w:ascii="Calibri" w:eastAsia="Times New Roman" w:hAnsi="Calibri" w:cs="Times New Roman"/>
          <w:sz w:val="24"/>
          <w:szCs w:val="32"/>
        </w:rPr>
        <w:t>highly-educated</w:t>
      </w:r>
      <w:proofErr w:type="gramEnd"/>
      <w:r w:rsidRPr="00211D5A">
        <w:rPr>
          <w:rFonts w:ascii="Calibri" w:eastAsia="Times New Roman" w:hAnsi="Calibri" w:cs="Times New Roman"/>
          <w:sz w:val="24"/>
          <w:szCs w:val="32"/>
        </w:rPr>
        <w:t xml:space="preserve"> employees; (4) low-income residents; and (5) students.</w:t>
      </w:r>
    </w:p>
    <w:p w14:paraId="770248B3" w14:textId="77777777" w:rsidR="009D2917" w:rsidRPr="00211D5A" w:rsidRDefault="009D2917" w:rsidP="009D2917">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Additional Thoughts:</w:t>
      </w:r>
    </w:p>
    <w:p w14:paraId="2DABED85" w14:textId="77777777" w:rsidR="002167E5" w:rsidRPr="00211D5A" w:rsidRDefault="002167E5" w:rsidP="009D2917">
      <w:pPr>
        <w:numPr>
          <w:ilvl w:val="4"/>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Suppose investments in unimproved real estate (that is, dirt) are preferentially taxed. What will happen to the price of dirt? It will rise, giving the holders of the dirt a windfall gain. Assuming the tax preference remains unchanged, no subsequent holder of dirt will enjoy any windfall: the tax preference will be fully captured in the purchase price paid by the investor. </w:t>
      </w:r>
    </w:p>
    <w:p w14:paraId="37C3CFC6" w14:textId="77777777" w:rsidR="002167E5" w:rsidRPr="00211D5A" w:rsidRDefault="002167E5" w:rsidP="009D2917">
      <w:pPr>
        <w:numPr>
          <w:ilvl w:val="4"/>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Does the same analysis apply to depreciable property and equipment, assuming such tangible personal property is subject to preferential taxation in the form of accelerated depreciation? Presumably the tax benefit will be priced into the property, but what about property manufactured after the tax preference </w:t>
      </w:r>
      <w:r w:rsidRPr="00211D5A">
        <w:rPr>
          <w:rFonts w:ascii="Calibri" w:eastAsia="Times New Roman" w:hAnsi="Calibri" w:cs="Times New Roman"/>
          <w:sz w:val="24"/>
          <w:szCs w:val="32"/>
        </w:rPr>
        <w:lastRenderedPageBreak/>
        <w:t>is enacted? We would expect that the holders of raw materials would see an increase in value when accelerated depreciation is enacted.</w:t>
      </w:r>
    </w:p>
    <w:p w14:paraId="6E06AB34" w14:textId="431BC6DF" w:rsidR="00943E09" w:rsidRPr="00211D5A" w:rsidRDefault="002167E5" w:rsidP="006A7E2E">
      <w:pPr>
        <w:numPr>
          <w:ilvl w:val="4"/>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What </w:t>
      </w:r>
      <w:proofErr w:type="gramStart"/>
      <w:r w:rsidRPr="00211D5A">
        <w:rPr>
          <w:rFonts w:ascii="Calibri" w:eastAsia="Times New Roman" w:hAnsi="Calibri" w:cs="Times New Roman"/>
          <w:sz w:val="24"/>
          <w:szCs w:val="32"/>
        </w:rPr>
        <w:t>should</w:t>
      </w:r>
      <w:proofErr w:type="gramEnd"/>
      <w:r w:rsidRPr="00211D5A">
        <w:rPr>
          <w:rFonts w:ascii="Calibri" w:eastAsia="Times New Roman" w:hAnsi="Calibri" w:cs="Times New Roman"/>
          <w:sz w:val="24"/>
          <w:szCs w:val="32"/>
        </w:rPr>
        <w:t xml:space="preserve"> the effect be on raw land if accelerated depreciation, applicable only to equipment and machinery, is enacted? A reduction in the tax imposed on anything should have a</w:t>
      </w:r>
      <w:r w:rsidR="006A7E2E" w:rsidRPr="00211D5A">
        <w:rPr>
          <w:rFonts w:ascii="Calibri" w:eastAsia="Times New Roman" w:hAnsi="Calibri" w:cs="Times New Roman"/>
          <w:sz w:val="24"/>
          <w:szCs w:val="32"/>
        </w:rPr>
        <w:t>n</w:t>
      </w:r>
      <w:r w:rsidRPr="00211D5A">
        <w:rPr>
          <w:rFonts w:ascii="Calibri" w:eastAsia="Times New Roman" w:hAnsi="Calibri" w:cs="Times New Roman"/>
          <w:sz w:val="24"/>
          <w:szCs w:val="32"/>
        </w:rPr>
        <w:t xml:space="preserve"> upward after-tax return on everything. What does this</w:t>
      </w:r>
      <w:r w:rsidR="00CF3517" w:rsidRPr="00211D5A">
        <w:rPr>
          <w:rFonts w:ascii="Calibri" w:eastAsia="Times New Roman" w:hAnsi="Calibri" w:cs="Times New Roman"/>
          <w:sz w:val="24"/>
          <w:szCs w:val="32"/>
        </w:rPr>
        <w:t xml:space="preserve"> tell us</w:t>
      </w:r>
      <w:r w:rsidRPr="00211D5A">
        <w:rPr>
          <w:rFonts w:ascii="Calibri" w:eastAsia="Times New Roman" w:hAnsi="Calibri" w:cs="Times New Roman"/>
          <w:sz w:val="24"/>
          <w:szCs w:val="32"/>
        </w:rPr>
        <w:t xml:space="preserve"> about the incidence of the corporate tax?</w:t>
      </w:r>
    </w:p>
    <w:p w14:paraId="10E2E6A6" w14:textId="77777777" w:rsidR="00D20B4F" w:rsidRPr="00211D5A" w:rsidRDefault="00D20B4F" w:rsidP="00D20B4F">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Question 4:</w:t>
      </w:r>
    </w:p>
    <w:p w14:paraId="6BB7326A" w14:textId="77777777" w:rsidR="00437000" w:rsidRPr="00211D5A" w:rsidRDefault="00437000" w:rsidP="00437000">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Part (a): This statement is correct since municipal bonds are tax-favored.</w:t>
      </w:r>
    </w:p>
    <w:p w14:paraId="6E15EA9E" w14:textId="4FF3F47E" w:rsidR="00437000" w:rsidRPr="00211D5A" w:rsidRDefault="00437000" w:rsidP="00437000">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Part (b): This statement is not correct. For example, suppose your tax rate is 30% and you can invest in </w:t>
      </w:r>
      <w:r w:rsidR="002451E3" w:rsidRPr="00211D5A">
        <w:rPr>
          <w:rFonts w:ascii="Calibri" w:eastAsia="Times New Roman" w:hAnsi="Calibri" w:cs="Times New Roman"/>
          <w:sz w:val="24"/>
          <w:szCs w:val="32"/>
        </w:rPr>
        <w:t xml:space="preserve">(1) </w:t>
      </w:r>
      <w:r w:rsidRPr="00211D5A">
        <w:rPr>
          <w:rFonts w:ascii="Calibri" w:eastAsia="Times New Roman" w:hAnsi="Calibri" w:cs="Times New Roman"/>
          <w:sz w:val="24"/>
          <w:szCs w:val="32"/>
        </w:rPr>
        <w:t xml:space="preserve">municipal bonds that yield 10% or </w:t>
      </w:r>
      <w:r w:rsidR="002451E3" w:rsidRPr="00211D5A">
        <w:rPr>
          <w:rFonts w:ascii="Calibri" w:eastAsia="Times New Roman" w:hAnsi="Calibri" w:cs="Times New Roman"/>
          <w:sz w:val="24"/>
          <w:szCs w:val="32"/>
        </w:rPr>
        <w:t xml:space="preserve">(2) </w:t>
      </w:r>
      <w:r w:rsidRPr="00211D5A">
        <w:rPr>
          <w:rFonts w:ascii="Calibri" w:eastAsia="Times New Roman" w:hAnsi="Calibri" w:cs="Times New Roman"/>
          <w:sz w:val="24"/>
          <w:szCs w:val="32"/>
        </w:rPr>
        <w:t xml:space="preserve">equally risky taxable bonds that yield 16%. You should invest in the </w:t>
      </w:r>
      <w:proofErr w:type="spellStart"/>
      <w:r w:rsidRPr="00211D5A">
        <w:rPr>
          <w:rFonts w:ascii="Calibri" w:eastAsia="Times New Roman" w:hAnsi="Calibri" w:cs="Times New Roman"/>
          <w:sz w:val="24"/>
          <w:szCs w:val="32"/>
        </w:rPr>
        <w:t>taxables</w:t>
      </w:r>
      <w:proofErr w:type="spellEnd"/>
      <w:r w:rsidRPr="00211D5A">
        <w:rPr>
          <w:rFonts w:ascii="Calibri" w:eastAsia="Times New Roman" w:hAnsi="Calibri" w:cs="Times New Roman"/>
          <w:sz w:val="24"/>
          <w:szCs w:val="32"/>
        </w:rPr>
        <w:t xml:space="preserve"> and pay explicit taxes of 4.8% to earn an after-tax return of 11.2% (which exceeds the 10% after-tax return on the exempt bonds).</w:t>
      </w:r>
    </w:p>
    <w:p w14:paraId="59D68EA2" w14:textId="77777777" w:rsidR="00AA5B28" w:rsidRPr="00211D5A" w:rsidRDefault="00AA5B28" w:rsidP="00437000">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Part (c): This statement is correct when the business assets are eligible for favorable tax treatment to owners. This is the case in most countries. When owning is tax-favored, it gives rise to high implicit taxes. Low-tax-rate investors do not value the tax benefits as much as high-tax-rate investors do. The low-tax-rate investors can effectively sell the tax benefits to ownership by renting at reduced rental rates.</w:t>
      </w:r>
    </w:p>
    <w:p w14:paraId="172AB199" w14:textId="77777777" w:rsidR="00AA5B28" w:rsidRPr="00211D5A" w:rsidRDefault="00AA5B28" w:rsidP="00437000">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Part (d): This statement is not necessarily correct. Suppose that employers’ tax rates are going to fall more than employee tax rates. In this case, the tax benefit of deferral to employees may be swamped by the cost of deferral to the employer. By adjusting the level of current compensation, employees can be made to prefer current payment. Nontax considerations may also be important. To the extent employees have a strong preference for current consumption and they cannot borrow funds at favorable interest rates, current compensation may be preferred even when taxes can be saved by deferring compensation.  We will analyze this problem more formally in chapter Eight.</w:t>
      </w:r>
    </w:p>
    <w:p w14:paraId="5BEBFEC4" w14:textId="77777777" w:rsidR="002167E5" w:rsidRPr="00211D5A" w:rsidRDefault="002167E5" w:rsidP="002167E5">
      <w:pPr>
        <w:numPr>
          <w:ilvl w:val="1"/>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Exercises</w:t>
      </w:r>
      <w:r w:rsidR="00F02858" w:rsidRPr="00211D5A">
        <w:rPr>
          <w:rFonts w:ascii="Calibri" w:eastAsia="Times New Roman" w:hAnsi="Calibri" w:cs="Times New Roman"/>
          <w:sz w:val="24"/>
          <w:szCs w:val="32"/>
        </w:rPr>
        <w:t>:</w:t>
      </w:r>
    </w:p>
    <w:p w14:paraId="07998A49" w14:textId="4C4E52AB"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lastRenderedPageBreak/>
        <w:t xml:space="preserve">Exercise </w:t>
      </w:r>
      <w:r w:rsidR="00943E09" w:rsidRPr="00211D5A">
        <w:rPr>
          <w:rFonts w:ascii="Calibri" w:eastAsia="Times New Roman" w:hAnsi="Calibri" w:cs="Times New Roman"/>
          <w:sz w:val="24"/>
          <w:szCs w:val="32"/>
        </w:rPr>
        <w:t>10</w:t>
      </w:r>
      <w:r w:rsidRPr="00211D5A">
        <w:rPr>
          <w:rFonts w:ascii="Calibri" w:eastAsia="Times New Roman" w:hAnsi="Calibri" w:cs="Times New Roman"/>
          <w:sz w:val="24"/>
          <w:szCs w:val="32"/>
        </w:rPr>
        <w:t>: The taxable bonds pay $12,500 per year in interest. Of that amount, $3,500 is remitted to the government in taxes, leaving $9,000 for the bondholder. An annual after-tax return of $9,000 on an investment of $100,000 is an annual return of 9%, the same return as the tax-exempt bond. The $3,500 annual revenue lost by the federal government from the tax-exempt bonds is enjoyed not by the holder of the bonds but rather by the issuer of the bonds in the form of a reduced interest cost. In effect, then, the holder of the exempt bonds continues to pay the same tax but now the recipient of the taxes has shifted from the federal government to the issuer of the bonds (that is, to the municipality).</w:t>
      </w:r>
      <w:r w:rsidR="00943E09" w:rsidRPr="00211D5A">
        <w:rPr>
          <w:rFonts w:ascii="Calibri" w:eastAsia="Times New Roman" w:hAnsi="Calibri" w:cs="Times New Roman"/>
          <w:sz w:val="24"/>
          <w:szCs w:val="32"/>
        </w:rPr>
        <w:t xml:space="preserve"> Put another way, the explicit taxes imposed on the taxable bonds </w:t>
      </w:r>
      <w:proofErr w:type="gramStart"/>
      <w:r w:rsidR="00943E09" w:rsidRPr="00211D5A">
        <w:rPr>
          <w:rFonts w:ascii="Calibri" w:eastAsia="Times New Roman" w:hAnsi="Calibri" w:cs="Times New Roman"/>
          <w:sz w:val="24"/>
          <w:szCs w:val="32"/>
        </w:rPr>
        <w:t>equals</w:t>
      </w:r>
      <w:proofErr w:type="gramEnd"/>
      <w:r w:rsidR="00943E09" w:rsidRPr="00211D5A">
        <w:rPr>
          <w:rFonts w:ascii="Calibri" w:eastAsia="Times New Roman" w:hAnsi="Calibri" w:cs="Times New Roman"/>
          <w:sz w:val="24"/>
          <w:szCs w:val="32"/>
        </w:rPr>
        <w:t xml:space="preserve"> the implicit taxes the market imposes on the tax-exempt bonds. The implicit tax rate equals ($12,500 - $9,000)/$12,500, or 28%.</w:t>
      </w:r>
    </w:p>
    <w:p w14:paraId="0C879CE6" w14:textId="3E54B8F5" w:rsidR="0099615C" w:rsidRPr="00211D5A" w:rsidRDefault="00F4647D" w:rsidP="0099615C">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Exercise 12:</w:t>
      </w:r>
      <w:r w:rsidR="00B84B00" w:rsidRPr="00211D5A">
        <w:rPr>
          <w:rFonts w:ascii="Calibri" w:eastAsia="Times New Roman" w:hAnsi="Calibri" w:cs="Times New Roman"/>
          <w:sz w:val="24"/>
          <w:szCs w:val="32"/>
        </w:rPr>
        <w:t xml:space="preserve"> </w:t>
      </w:r>
      <w:r w:rsidR="00B84B00" w:rsidRPr="00211D5A">
        <w:rPr>
          <w:rFonts w:ascii="Calibri" w:eastAsia="Times New Roman" w:hAnsi="Calibri" w:cs="Times New Roman"/>
          <w:b/>
          <w:bCs/>
          <w:sz w:val="24"/>
          <w:szCs w:val="32"/>
        </w:rPr>
        <w:t>This problem should come much later in the book!</w:t>
      </w:r>
    </w:p>
    <w:p w14:paraId="5A4E04BA" w14:textId="2103BB68" w:rsidR="00EE014B" w:rsidRPr="00211D5A" w:rsidRDefault="0099615C" w:rsidP="0099615C">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The maximum price a taxpayer should be willing to pay for an income stream is the present discounted value of that income stream. For the five-year taxable bond, the present discounted value of the income stream equals  r/(1+d) + r/(1+d)</w:t>
      </w:r>
      <w:r w:rsidRPr="00211D5A">
        <w:rPr>
          <w:rFonts w:ascii="Calibri" w:eastAsia="Times New Roman" w:hAnsi="Calibri" w:cs="Times New Roman"/>
          <w:sz w:val="24"/>
          <w:szCs w:val="32"/>
          <w:vertAlign w:val="superscript"/>
        </w:rPr>
        <w:t>2</w:t>
      </w:r>
      <w:r w:rsidRPr="00211D5A">
        <w:rPr>
          <w:rFonts w:ascii="Calibri" w:eastAsia="Times New Roman" w:hAnsi="Calibri" w:cs="Times New Roman"/>
          <w:sz w:val="24"/>
          <w:szCs w:val="32"/>
        </w:rPr>
        <w:t xml:space="preserve"> + . . . r/(1+d)</w:t>
      </w:r>
      <w:r w:rsidRPr="00211D5A">
        <w:rPr>
          <w:rFonts w:ascii="Calibri" w:eastAsia="Times New Roman" w:hAnsi="Calibri" w:cs="Times New Roman"/>
          <w:sz w:val="24"/>
          <w:szCs w:val="32"/>
          <w:vertAlign w:val="superscript"/>
        </w:rPr>
        <w:t>5</w:t>
      </w:r>
      <w:r w:rsidRPr="00211D5A">
        <w:rPr>
          <w:rFonts w:ascii="Calibri" w:eastAsia="Times New Roman" w:hAnsi="Calibri" w:cs="Times New Roman"/>
          <w:sz w:val="24"/>
          <w:szCs w:val="32"/>
        </w:rPr>
        <w:t xml:space="preserve"> + </w:t>
      </w:r>
      <w:proofErr w:type="spellStart"/>
      <w:r w:rsidRPr="00211D5A">
        <w:rPr>
          <w:rFonts w:ascii="Calibri" w:eastAsia="Times New Roman" w:hAnsi="Calibri" w:cs="Times New Roman"/>
          <w:sz w:val="24"/>
          <w:szCs w:val="32"/>
        </w:rPr>
        <w:t>fv</w:t>
      </w:r>
      <w:proofErr w:type="spellEnd"/>
      <w:r w:rsidRPr="00211D5A">
        <w:rPr>
          <w:rFonts w:ascii="Calibri" w:eastAsia="Times New Roman" w:hAnsi="Calibri" w:cs="Times New Roman"/>
          <w:sz w:val="24"/>
          <w:szCs w:val="32"/>
        </w:rPr>
        <w:t>/(1+d)</w:t>
      </w:r>
      <w:r w:rsidRPr="00211D5A">
        <w:rPr>
          <w:rFonts w:ascii="Calibri" w:eastAsia="Times New Roman" w:hAnsi="Calibri" w:cs="Times New Roman"/>
          <w:sz w:val="24"/>
          <w:szCs w:val="32"/>
          <w:vertAlign w:val="superscript"/>
        </w:rPr>
        <w:t>5</w:t>
      </w:r>
      <w:r w:rsidRPr="00211D5A">
        <w:rPr>
          <w:rFonts w:ascii="Calibri" w:eastAsia="Times New Roman" w:hAnsi="Calibri" w:cs="Times New Roman"/>
          <w:sz w:val="24"/>
          <w:szCs w:val="32"/>
        </w:rPr>
        <w:t xml:space="preserve">, where r is the annual after-tax interest payment (i.e., the annual return), </w:t>
      </w:r>
      <w:proofErr w:type="spellStart"/>
      <w:r w:rsidRPr="00211D5A">
        <w:rPr>
          <w:rFonts w:ascii="Calibri" w:eastAsia="Times New Roman" w:hAnsi="Calibri" w:cs="Times New Roman"/>
          <w:sz w:val="24"/>
          <w:szCs w:val="32"/>
        </w:rPr>
        <w:t>fv</w:t>
      </w:r>
      <w:proofErr w:type="spellEnd"/>
      <w:r w:rsidRPr="00211D5A">
        <w:rPr>
          <w:rFonts w:ascii="Calibri" w:eastAsia="Times New Roman" w:hAnsi="Calibri" w:cs="Times New Roman"/>
          <w:sz w:val="24"/>
          <w:szCs w:val="32"/>
        </w:rPr>
        <w:t xml:space="preserve"> is the face value of the bond (i.e., what the holder will receive at maturity), and d is the appropriate annual discount rate (</w:t>
      </w:r>
      <w:proofErr w:type="spellStart"/>
      <w:r w:rsidRPr="00211D5A">
        <w:rPr>
          <w:rFonts w:ascii="Calibri" w:eastAsia="Times New Roman" w:hAnsi="Calibri" w:cs="Times New Roman"/>
          <w:sz w:val="24"/>
          <w:szCs w:val="32"/>
        </w:rPr>
        <w:t>i.e</w:t>
      </w:r>
      <w:proofErr w:type="spellEnd"/>
      <w:r w:rsidRPr="00211D5A">
        <w:rPr>
          <w:rFonts w:ascii="Calibri" w:eastAsia="Times New Roman" w:hAnsi="Calibri" w:cs="Times New Roman"/>
          <w:sz w:val="24"/>
          <w:szCs w:val="32"/>
        </w:rPr>
        <w:t xml:space="preserve">, the after-tax return the taxpayer is able to achieve). On our facts, r = </w:t>
      </w:r>
      <w:r w:rsidR="00DE54DC" w:rsidRPr="00211D5A">
        <w:rPr>
          <w:rFonts w:ascii="Calibri" w:eastAsia="Times New Roman" w:hAnsi="Calibri" w:cs="Times New Roman"/>
          <w:sz w:val="24"/>
          <w:szCs w:val="32"/>
        </w:rPr>
        <w:t>$60</w:t>
      </w:r>
      <w:proofErr w:type="gramStart"/>
      <w:r w:rsidRPr="00211D5A">
        <w:rPr>
          <w:rFonts w:ascii="Calibri" w:eastAsia="Times New Roman" w:hAnsi="Calibri" w:cs="Times New Roman"/>
          <w:sz w:val="24"/>
          <w:szCs w:val="32"/>
        </w:rPr>
        <w:t>x(</w:t>
      </w:r>
      <w:proofErr w:type="gramEnd"/>
      <w:r w:rsidRPr="00211D5A">
        <w:rPr>
          <w:rFonts w:ascii="Calibri" w:eastAsia="Times New Roman" w:hAnsi="Calibri" w:cs="Times New Roman"/>
          <w:sz w:val="24"/>
          <w:szCs w:val="32"/>
        </w:rPr>
        <w:t xml:space="preserve">1 – 0.31) = </w:t>
      </w:r>
      <w:r w:rsidR="00DE54DC" w:rsidRPr="00211D5A">
        <w:rPr>
          <w:rFonts w:ascii="Calibri" w:eastAsia="Times New Roman" w:hAnsi="Calibri" w:cs="Times New Roman"/>
          <w:sz w:val="24"/>
          <w:szCs w:val="32"/>
        </w:rPr>
        <w:t>$</w:t>
      </w:r>
      <w:r w:rsidRPr="00211D5A">
        <w:rPr>
          <w:rFonts w:ascii="Calibri" w:eastAsia="Times New Roman" w:hAnsi="Calibri" w:cs="Times New Roman"/>
          <w:sz w:val="24"/>
          <w:szCs w:val="32"/>
        </w:rPr>
        <w:t>41</w:t>
      </w:r>
      <w:r w:rsidR="00DE54DC" w:rsidRPr="00211D5A">
        <w:rPr>
          <w:rFonts w:ascii="Calibri" w:eastAsia="Times New Roman" w:hAnsi="Calibri" w:cs="Times New Roman"/>
          <w:sz w:val="24"/>
          <w:szCs w:val="32"/>
        </w:rPr>
        <w:t>.</w:t>
      </w:r>
      <w:r w:rsidRPr="00211D5A">
        <w:rPr>
          <w:rFonts w:ascii="Calibri" w:eastAsia="Times New Roman" w:hAnsi="Calibri" w:cs="Times New Roman"/>
          <w:sz w:val="24"/>
          <w:szCs w:val="32"/>
        </w:rPr>
        <w:t>4</w:t>
      </w:r>
      <w:r w:rsidR="00DE54DC" w:rsidRPr="00211D5A">
        <w:rPr>
          <w:rFonts w:ascii="Calibri" w:eastAsia="Times New Roman" w:hAnsi="Calibri" w:cs="Times New Roman"/>
          <w:sz w:val="24"/>
          <w:szCs w:val="32"/>
        </w:rPr>
        <w:t>0</w:t>
      </w:r>
      <w:r w:rsidRPr="00211D5A">
        <w:rPr>
          <w:rFonts w:ascii="Calibri" w:eastAsia="Times New Roman" w:hAnsi="Calibri" w:cs="Times New Roman"/>
          <w:sz w:val="24"/>
          <w:szCs w:val="32"/>
        </w:rPr>
        <w:t xml:space="preserve">; </w:t>
      </w:r>
      <w:proofErr w:type="spellStart"/>
      <w:r w:rsidRPr="00211D5A">
        <w:rPr>
          <w:rFonts w:ascii="Calibri" w:eastAsia="Times New Roman" w:hAnsi="Calibri" w:cs="Times New Roman"/>
          <w:sz w:val="24"/>
          <w:szCs w:val="32"/>
        </w:rPr>
        <w:t>fv</w:t>
      </w:r>
      <w:proofErr w:type="spellEnd"/>
      <w:r w:rsidRPr="00211D5A">
        <w:rPr>
          <w:rFonts w:ascii="Calibri" w:eastAsia="Times New Roman" w:hAnsi="Calibri" w:cs="Times New Roman"/>
          <w:sz w:val="24"/>
          <w:szCs w:val="32"/>
        </w:rPr>
        <w:t xml:space="preserve"> = $1,000 (because return of capital is not taxed), and d = 4.14% (the taxpayer’s after-tax rate of return for a fully-taxed investment). Accordingly, the bond is worth $41.4</w:t>
      </w:r>
      <w:proofErr w:type="gramStart"/>
      <w:r w:rsidRPr="00211D5A">
        <w:rPr>
          <w:rFonts w:ascii="Calibri" w:eastAsia="Times New Roman" w:hAnsi="Calibri" w:cs="Times New Roman"/>
          <w:sz w:val="24"/>
          <w:szCs w:val="32"/>
        </w:rPr>
        <w:t>/(</w:t>
      </w:r>
      <w:proofErr w:type="gramEnd"/>
      <w:r w:rsidRPr="00211D5A">
        <w:rPr>
          <w:rFonts w:ascii="Calibri" w:eastAsia="Times New Roman" w:hAnsi="Calibri" w:cs="Times New Roman"/>
          <w:sz w:val="24"/>
          <w:szCs w:val="32"/>
        </w:rPr>
        <w:t>1.0414) + $41.4/(1.0414)</w:t>
      </w:r>
      <w:r w:rsidRPr="00211D5A">
        <w:rPr>
          <w:rFonts w:ascii="Calibri" w:eastAsia="Times New Roman" w:hAnsi="Calibri" w:cs="Times New Roman"/>
          <w:sz w:val="24"/>
          <w:szCs w:val="32"/>
          <w:vertAlign w:val="superscript"/>
        </w:rPr>
        <w:t>2</w:t>
      </w:r>
      <w:r w:rsidRPr="00211D5A">
        <w:rPr>
          <w:rFonts w:ascii="Calibri" w:eastAsia="Times New Roman" w:hAnsi="Calibri" w:cs="Times New Roman"/>
          <w:sz w:val="24"/>
          <w:szCs w:val="32"/>
        </w:rPr>
        <w:t xml:space="preserve"> + . . . $41.4/(1.0414)</w:t>
      </w:r>
      <w:r w:rsidRPr="00211D5A">
        <w:rPr>
          <w:rFonts w:ascii="Calibri" w:eastAsia="Times New Roman" w:hAnsi="Calibri" w:cs="Times New Roman"/>
          <w:sz w:val="24"/>
          <w:szCs w:val="32"/>
          <w:vertAlign w:val="superscript"/>
        </w:rPr>
        <w:t>5</w:t>
      </w:r>
      <w:r w:rsidRPr="00211D5A">
        <w:rPr>
          <w:rFonts w:ascii="Calibri" w:eastAsia="Times New Roman" w:hAnsi="Calibri" w:cs="Times New Roman"/>
          <w:sz w:val="24"/>
          <w:szCs w:val="32"/>
        </w:rPr>
        <w:t xml:space="preserve"> + $1,000/(1.0414)</w:t>
      </w:r>
      <w:r w:rsidRPr="00211D5A">
        <w:rPr>
          <w:rFonts w:ascii="Calibri" w:eastAsia="Times New Roman" w:hAnsi="Calibri" w:cs="Times New Roman"/>
          <w:sz w:val="24"/>
          <w:szCs w:val="32"/>
          <w:vertAlign w:val="superscript"/>
        </w:rPr>
        <w:t>5</w:t>
      </w:r>
      <w:r w:rsidRPr="00211D5A">
        <w:rPr>
          <w:rFonts w:ascii="Calibri" w:eastAsia="Times New Roman" w:hAnsi="Calibri" w:cs="Times New Roman"/>
          <w:sz w:val="24"/>
          <w:szCs w:val="32"/>
        </w:rPr>
        <w:t>, or $1,000.</w:t>
      </w:r>
    </w:p>
    <w:p w14:paraId="46FEF124" w14:textId="4A5CD419" w:rsidR="0099615C" w:rsidRPr="00211D5A" w:rsidRDefault="0099615C" w:rsidP="0099615C">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The analysis is trickier for the tax-free bond because there will be a loss recognized at redemption when the taxpayer receives the face value of the bond, having paid more than face value to acquire</w:t>
      </w:r>
      <w:r w:rsidR="003016B8" w:rsidRPr="00211D5A">
        <w:rPr>
          <w:rFonts w:ascii="Calibri" w:eastAsia="Times New Roman" w:hAnsi="Calibri" w:cs="Times New Roman"/>
          <w:sz w:val="24"/>
          <w:szCs w:val="32"/>
        </w:rPr>
        <w:t xml:space="preserve"> the bond</w:t>
      </w:r>
      <w:r w:rsidR="00B84B00" w:rsidRPr="00211D5A">
        <w:rPr>
          <w:rFonts w:ascii="Calibri" w:eastAsia="Times New Roman" w:hAnsi="Calibri" w:cs="Times New Roman"/>
          <w:sz w:val="24"/>
          <w:szCs w:val="32"/>
        </w:rPr>
        <w:t xml:space="preserve"> (while we call the bond a “tax-free” bond, only the interest is free of tax. Gain or loss at disposition is taxable</w:t>
      </w:r>
      <w:r w:rsidR="003016B8" w:rsidRPr="00211D5A">
        <w:rPr>
          <w:rFonts w:ascii="Calibri" w:eastAsia="Times New Roman" w:hAnsi="Calibri" w:cs="Times New Roman"/>
          <w:sz w:val="24"/>
          <w:szCs w:val="32"/>
        </w:rPr>
        <w:t xml:space="preserve">. </w:t>
      </w:r>
      <w:r w:rsidR="00B84B00" w:rsidRPr="00211D5A">
        <w:rPr>
          <w:rFonts w:ascii="Calibri" w:eastAsia="Times New Roman" w:hAnsi="Calibri" w:cs="Times New Roman"/>
          <w:sz w:val="24"/>
          <w:szCs w:val="32"/>
        </w:rPr>
        <w:t xml:space="preserve">The loss will be a capital loss, but I will use the same 31% rate as the income is taxed). </w:t>
      </w:r>
      <w:r w:rsidR="003016B8" w:rsidRPr="00211D5A">
        <w:rPr>
          <w:rFonts w:ascii="Calibri" w:eastAsia="Times New Roman" w:hAnsi="Calibri" w:cs="Times New Roman"/>
          <w:sz w:val="24"/>
          <w:szCs w:val="32"/>
        </w:rPr>
        <w:t>Accordingly, if P is paid for the bond, then we have P = $</w:t>
      </w:r>
      <w:r w:rsidR="007F7559" w:rsidRPr="00211D5A">
        <w:rPr>
          <w:rFonts w:ascii="Calibri" w:eastAsia="Times New Roman" w:hAnsi="Calibri" w:cs="Times New Roman"/>
          <w:sz w:val="24"/>
          <w:szCs w:val="32"/>
        </w:rPr>
        <w:t>6</w:t>
      </w:r>
      <w:r w:rsidR="003016B8" w:rsidRPr="00211D5A">
        <w:rPr>
          <w:rFonts w:ascii="Calibri" w:eastAsia="Times New Roman" w:hAnsi="Calibri" w:cs="Times New Roman"/>
          <w:sz w:val="24"/>
          <w:szCs w:val="32"/>
        </w:rPr>
        <w:t>0</w:t>
      </w:r>
      <w:proofErr w:type="gramStart"/>
      <w:r w:rsidR="003016B8" w:rsidRPr="00211D5A">
        <w:rPr>
          <w:rFonts w:ascii="Calibri" w:eastAsia="Times New Roman" w:hAnsi="Calibri" w:cs="Times New Roman"/>
          <w:sz w:val="24"/>
          <w:szCs w:val="32"/>
        </w:rPr>
        <w:t>/(</w:t>
      </w:r>
      <w:proofErr w:type="gramEnd"/>
      <w:r w:rsidR="003016B8" w:rsidRPr="00211D5A">
        <w:rPr>
          <w:rFonts w:ascii="Calibri" w:eastAsia="Times New Roman" w:hAnsi="Calibri" w:cs="Times New Roman"/>
          <w:sz w:val="24"/>
          <w:szCs w:val="32"/>
        </w:rPr>
        <w:t>1.0414) + $</w:t>
      </w:r>
      <w:r w:rsidR="007F7559" w:rsidRPr="00211D5A">
        <w:rPr>
          <w:rFonts w:ascii="Calibri" w:eastAsia="Times New Roman" w:hAnsi="Calibri" w:cs="Times New Roman"/>
          <w:sz w:val="24"/>
          <w:szCs w:val="32"/>
        </w:rPr>
        <w:t>6</w:t>
      </w:r>
      <w:r w:rsidR="003016B8" w:rsidRPr="00211D5A">
        <w:rPr>
          <w:rFonts w:ascii="Calibri" w:eastAsia="Times New Roman" w:hAnsi="Calibri" w:cs="Times New Roman"/>
          <w:sz w:val="24"/>
          <w:szCs w:val="32"/>
        </w:rPr>
        <w:t>0/(1.0414)</w:t>
      </w:r>
      <w:r w:rsidR="00F44CA3" w:rsidRPr="00211D5A">
        <w:rPr>
          <w:rFonts w:ascii="Calibri" w:eastAsia="Times New Roman" w:hAnsi="Calibri" w:cs="Times New Roman"/>
          <w:sz w:val="24"/>
          <w:szCs w:val="32"/>
          <w:vertAlign w:val="superscript"/>
        </w:rPr>
        <w:t>2</w:t>
      </w:r>
      <w:r w:rsidR="003016B8" w:rsidRPr="00211D5A">
        <w:rPr>
          <w:rFonts w:ascii="Calibri" w:eastAsia="Times New Roman" w:hAnsi="Calibri" w:cs="Times New Roman"/>
          <w:sz w:val="24"/>
          <w:szCs w:val="32"/>
        </w:rPr>
        <w:t xml:space="preserve"> + . . . + $</w:t>
      </w:r>
      <w:r w:rsidR="007F7559" w:rsidRPr="00211D5A">
        <w:rPr>
          <w:rFonts w:ascii="Calibri" w:eastAsia="Times New Roman" w:hAnsi="Calibri" w:cs="Times New Roman"/>
          <w:sz w:val="24"/>
          <w:szCs w:val="32"/>
        </w:rPr>
        <w:t>6</w:t>
      </w:r>
      <w:r w:rsidR="003016B8" w:rsidRPr="00211D5A">
        <w:rPr>
          <w:rFonts w:ascii="Calibri" w:eastAsia="Times New Roman" w:hAnsi="Calibri" w:cs="Times New Roman"/>
          <w:sz w:val="24"/>
          <w:szCs w:val="32"/>
        </w:rPr>
        <w:t>0/(1.0414)</w:t>
      </w:r>
      <w:r w:rsidR="003016B8" w:rsidRPr="00211D5A">
        <w:rPr>
          <w:rFonts w:ascii="Calibri" w:eastAsia="Times New Roman" w:hAnsi="Calibri" w:cs="Times New Roman"/>
          <w:sz w:val="24"/>
          <w:szCs w:val="32"/>
          <w:vertAlign w:val="superscript"/>
        </w:rPr>
        <w:t>5</w:t>
      </w:r>
      <w:r w:rsidR="003016B8" w:rsidRPr="00211D5A">
        <w:rPr>
          <w:rFonts w:ascii="Calibri" w:eastAsia="Times New Roman" w:hAnsi="Calibri" w:cs="Times New Roman"/>
          <w:sz w:val="24"/>
          <w:szCs w:val="32"/>
        </w:rPr>
        <w:t xml:space="preserve"> + </w:t>
      </w:r>
      <w:r w:rsidR="00F44CA3" w:rsidRPr="00211D5A">
        <w:rPr>
          <w:rFonts w:ascii="Calibri" w:eastAsia="Times New Roman" w:hAnsi="Calibri" w:cs="Times New Roman"/>
          <w:sz w:val="24"/>
          <w:szCs w:val="32"/>
        </w:rPr>
        <w:t>$1,000</w:t>
      </w:r>
      <w:r w:rsidR="003016B8" w:rsidRPr="00211D5A">
        <w:rPr>
          <w:rFonts w:ascii="Calibri" w:eastAsia="Times New Roman" w:hAnsi="Calibri" w:cs="Times New Roman"/>
          <w:sz w:val="24"/>
          <w:szCs w:val="32"/>
        </w:rPr>
        <w:t>/(1.0414)</w:t>
      </w:r>
      <w:r w:rsidR="003016B8" w:rsidRPr="00211D5A">
        <w:rPr>
          <w:rFonts w:ascii="Calibri" w:eastAsia="Times New Roman" w:hAnsi="Calibri" w:cs="Times New Roman"/>
          <w:sz w:val="24"/>
          <w:szCs w:val="32"/>
          <w:vertAlign w:val="superscript"/>
        </w:rPr>
        <w:t>5</w:t>
      </w:r>
      <w:r w:rsidR="003016B8" w:rsidRPr="00211D5A">
        <w:rPr>
          <w:rFonts w:ascii="Calibri" w:eastAsia="Times New Roman" w:hAnsi="Calibri" w:cs="Times New Roman"/>
          <w:sz w:val="24"/>
          <w:szCs w:val="32"/>
        </w:rPr>
        <w:t xml:space="preserve"> + (P - $1000)x0.31</w:t>
      </w:r>
      <w:r w:rsidR="00F44CA3" w:rsidRPr="00211D5A">
        <w:rPr>
          <w:rFonts w:ascii="Calibri" w:eastAsia="Times New Roman" w:hAnsi="Calibri" w:cs="Times New Roman"/>
          <w:sz w:val="24"/>
          <w:szCs w:val="32"/>
        </w:rPr>
        <w:t>/(1.0414)</w:t>
      </w:r>
      <w:r w:rsidR="00F44CA3" w:rsidRPr="00211D5A">
        <w:rPr>
          <w:rFonts w:ascii="Calibri" w:eastAsia="Times New Roman" w:hAnsi="Calibri" w:cs="Times New Roman"/>
          <w:sz w:val="24"/>
          <w:szCs w:val="32"/>
          <w:vertAlign w:val="superscript"/>
        </w:rPr>
        <w:t>5</w:t>
      </w:r>
      <w:r w:rsidR="003016B8" w:rsidRPr="00211D5A">
        <w:rPr>
          <w:rFonts w:ascii="Calibri" w:eastAsia="Times New Roman" w:hAnsi="Calibri" w:cs="Times New Roman"/>
          <w:sz w:val="24"/>
          <w:szCs w:val="32"/>
        </w:rPr>
        <w:t>, where the final term accounts for the loss recognized at redemption.</w:t>
      </w:r>
      <w:r w:rsidR="00B84B00" w:rsidRPr="00211D5A">
        <w:rPr>
          <w:rFonts w:ascii="Calibri" w:eastAsia="Times New Roman" w:hAnsi="Calibri" w:cs="Times New Roman"/>
          <w:sz w:val="24"/>
          <w:szCs w:val="32"/>
        </w:rPr>
        <w:t xml:space="preserve"> </w:t>
      </w:r>
      <w:r w:rsidR="00F44CA3" w:rsidRPr="00211D5A">
        <w:rPr>
          <w:rFonts w:ascii="Calibri" w:eastAsia="Times New Roman" w:hAnsi="Calibri" w:cs="Times New Roman"/>
          <w:sz w:val="24"/>
          <w:szCs w:val="32"/>
        </w:rPr>
        <w:t xml:space="preserve">Noting that </w:t>
      </w:r>
      <w:r w:rsidR="00F44CA3" w:rsidRPr="00211D5A">
        <w:rPr>
          <w:rFonts w:ascii="Calibri" w:eastAsia="Times New Roman" w:hAnsi="Calibri" w:cs="Times New Roman"/>
          <w:sz w:val="24"/>
          <w:szCs w:val="32"/>
        </w:rPr>
        <w:lastRenderedPageBreak/>
        <w:t>0.31</w:t>
      </w:r>
      <w:proofErr w:type="gramStart"/>
      <w:r w:rsidR="00F44CA3" w:rsidRPr="00211D5A">
        <w:rPr>
          <w:rFonts w:ascii="Calibri" w:eastAsia="Times New Roman" w:hAnsi="Calibri" w:cs="Times New Roman"/>
          <w:sz w:val="24"/>
          <w:szCs w:val="32"/>
        </w:rPr>
        <w:t>/(</w:t>
      </w:r>
      <w:proofErr w:type="gramEnd"/>
      <w:r w:rsidR="00F44CA3" w:rsidRPr="00211D5A">
        <w:rPr>
          <w:rFonts w:ascii="Calibri" w:eastAsia="Times New Roman" w:hAnsi="Calibri" w:cs="Times New Roman"/>
          <w:sz w:val="24"/>
          <w:szCs w:val="32"/>
        </w:rPr>
        <w:t>1.0414)</w:t>
      </w:r>
      <w:r w:rsidR="00F44CA3" w:rsidRPr="00211D5A">
        <w:rPr>
          <w:rFonts w:ascii="Calibri" w:eastAsia="Times New Roman" w:hAnsi="Calibri" w:cs="Times New Roman"/>
          <w:sz w:val="24"/>
          <w:szCs w:val="32"/>
          <w:vertAlign w:val="superscript"/>
        </w:rPr>
        <w:t>5</w:t>
      </w:r>
      <w:r w:rsidR="00F44CA3" w:rsidRPr="00211D5A">
        <w:rPr>
          <w:rFonts w:ascii="Calibri" w:eastAsia="Times New Roman" w:hAnsi="Calibri" w:cs="Times New Roman"/>
          <w:sz w:val="24"/>
          <w:szCs w:val="32"/>
        </w:rPr>
        <w:t xml:space="preserve"> = 0.253, we combine </w:t>
      </w:r>
      <w:r w:rsidR="00B84B00" w:rsidRPr="00211D5A">
        <w:rPr>
          <w:rFonts w:ascii="Calibri" w:eastAsia="Times New Roman" w:hAnsi="Calibri" w:cs="Times New Roman"/>
          <w:sz w:val="24"/>
          <w:szCs w:val="32"/>
        </w:rPr>
        <w:t xml:space="preserve">P’s, </w:t>
      </w:r>
      <w:r w:rsidR="00F44CA3" w:rsidRPr="00211D5A">
        <w:rPr>
          <w:rFonts w:ascii="Calibri" w:eastAsia="Times New Roman" w:hAnsi="Calibri" w:cs="Times New Roman"/>
          <w:sz w:val="24"/>
          <w:szCs w:val="32"/>
        </w:rPr>
        <w:t>to</w:t>
      </w:r>
      <w:r w:rsidR="00B84B00" w:rsidRPr="00211D5A">
        <w:rPr>
          <w:rFonts w:ascii="Calibri" w:eastAsia="Times New Roman" w:hAnsi="Calibri" w:cs="Times New Roman"/>
          <w:sz w:val="24"/>
          <w:szCs w:val="32"/>
        </w:rPr>
        <w:t xml:space="preserve"> get 0.</w:t>
      </w:r>
      <w:r w:rsidR="00F44CA3" w:rsidRPr="00211D5A">
        <w:rPr>
          <w:rFonts w:ascii="Calibri" w:eastAsia="Times New Roman" w:hAnsi="Calibri" w:cs="Times New Roman"/>
          <w:sz w:val="24"/>
          <w:szCs w:val="32"/>
        </w:rPr>
        <w:t>747</w:t>
      </w:r>
      <w:r w:rsidR="00B84B00" w:rsidRPr="00211D5A">
        <w:rPr>
          <w:rFonts w:ascii="Calibri" w:eastAsia="Times New Roman" w:hAnsi="Calibri" w:cs="Times New Roman"/>
          <w:sz w:val="24"/>
          <w:szCs w:val="32"/>
        </w:rPr>
        <w:t>P = $</w:t>
      </w:r>
      <w:r w:rsidR="007F7559" w:rsidRPr="00211D5A">
        <w:rPr>
          <w:rFonts w:ascii="Calibri" w:eastAsia="Times New Roman" w:hAnsi="Calibri" w:cs="Times New Roman"/>
          <w:sz w:val="24"/>
          <w:szCs w:val="32"/>
        </w:rPr>
        <w:t>6</w:t>
      </w:r>
      <w:r w:rsidR="00B84B00" w:rsidRPr="00211D5A">
        <w:rPr>
          <w:rFonts w:ascii="Calibri" w:eastAsia="Times New Roman" w:hAnsi="Calibri" w:cs="Times New Roman"/>
          <w:sz w:val="24"/>
          <w:szCs w:val="32"/>
        </w:rPr>
        <w:t>0/(1.0414) + $</w:t>
      </w:r>
      <w:r w:rsidR="007F7559" w:rsidRPr="00211D5A">
        <w:rPr>
          <w:rFonts w:ascii="Calibri" w:eastAsia="Times New Roman" w:hAnsi="Calibri" w:cs="Times New Roman"/>
          <w:sz w:val="24"/>
          <w:szCs w:val="32"/>
        </w:rPr>
        <w:t>6</w:t>
      </w:r>
      <w:r w:rsidR="00B84B00" w:rsidRPr="00211D5A">
        <w:rPr>
          <w:rFonts w:ascii="Calibri" w:eastAsia="Times New Roman" w:hAnsi="Calibri" w:cs="Times New Roman"/>
          <w:sz w:val="24"/>
          <w:szCs w:val="32"/>
        </w:rPr>
        <w:t>0</w:t>
      </w:r>
      <w:r w:rsidR="00072D6F" w:rsidRPr="00211D5A">
        <w:rPr>
          <w:rFonts w:ascii="Calibri" w:eastAsia="Times New Roman" w:hAnsi="Calibri" w:cs="Times New Roman"/>
          <w:sz w:val="24"/>
          <w:szCs w:val="32"/>
        </w:rPr>
        <w:t>/</w:t>
      </w:r>
      <w:r w:rsidR="00B84B00" w:rsidRPr="00211D5A">
        <w:rPr>
          <w:rFonts w:ascii="Calibri" w:eastAsia="Times New Roman" w:hAnsi="Calibri" w:cs="Times New Roman"/>
          <w:sz w:val="24"/>
          <w:szCs w:val="32"/>
        </w:rPr>
        <w:t>(1.0414)</w:t>
      </w:r>
      <w:r w:rsidR="00B84B00" w:rsidRPr="00211D5A">
        <w:rPr>
          <w:rFonts w:ascii="Calibri" w:eastAsia="Times New Roman" w:hAnsi="Calibri" w:cs="Times New Roman"/>
          <w:sz w:val="24"/>
          <w:szCs w:val="32"/>
          <w:vertAlign w:val="superscript"/>
        </w:rPr>
        <w:t>2</w:t>
      </w:r>
      <w:r w:rsidR="00B84B00" w:rsidRPr="00211D5A">
        <w:rPr>
          <w:rFonts w:ascii="Calibri" w:eastAsia="Times New Roman" w:hAnsi="Calibri" w:cs="Times New Roman"/>
          <w:sz w:val="24"/>
          <w:szCs w:val="32"/>
        </w:rPr>
        <w:t xml:space="preserve"> + . . . + $</w:t>
      </w:r>
      <w:r w:rsidR="007F7559" w:rsidRPr="00211D5A">
        <w:rPr>
          <w:rFonts w:ascii="Calibri" w:eastAsia="Times New Roman" w:hAnsi="Calibri" w:cs="Times New Roman"/>
          <w:sz w:val="24"/>
          <w:szCs w:val="32"/>
        </w:rPr>
        <w:t>6</w:t>
      </w:r>
      <w:r w:rsidR="00B84B00" w:rsidRPr="00211D5A">
        <w:rPr>
          <w:rFonts w:ascii="Calibri" w:eastAsia="Times New Roman" w:hAnsi="Calibri" w:cs="Times New Roman"/>
          <w:sz w:val="24"/>
          <w:szCs w:val="32"/>
        </w:rPr>
        <w:t>0</w:t>
      </w:r>
      <w:r w:rsidR="00072D6F" w:rsidRPr="00211D5A">
        <w:rPr>
          <w:rFonts w:ascii="Calibri" w:eastAsia="Times New Roman" w:hAnsi="Calibri" w:cs="Times New Roman"/>
          <w:sz w:val="24"/>
          <w:szCs w:val="32"/>
        </w:rPr>
        <w:t>/</w:t>
      </w:r>
      <w:r w:rsidR="00B84B00" w:rsidRPr="00211D5A">
        <w:rPr>
          <w:rFonts w:ascii="Calibri" w:eastAsia="Times New Roman" w:hAnsi="Calibri" w:cs="Times New Roman"/>
          <w:sz w:val="24"/>
          <w:szCs w:val="32"/>
        </w:rPr>
        <w:t>(1.0414)</w:t>
      </w:r>
      <w:r w:rsidR="00B84B00" w:rsidRPr="00211D5A">
        <w:rPr>
          <w:rFonts w:ascii="Calibri" w:eastAsia="Times New Roman" w:hAnsi="Calibri" w:cs="Times New Roman"/>
          <w:sz w:val="24"/>
          <w:szCs w:val="32"/>
          <w:vertAlign w:val="superscript"/>
        </w:rPr>
        <w:t>5</w:t>
      </w:r>
      <w:r w:rsidR="00B84B00" w:rsidRPr="00211D5A">
        <w:rPr>
          <w:rFonts w:ascii="Calibri" w:eastAsia="Times New Roman" w:hAnsi="Calibri" w:cs="Times New Roman"/>
          <w:sz w:val="24"/>
          <w:szCs w:val="32"/>
        </w:rPr>
        <w:t xml:space="preserve"> - $</w:t>
      </w:r>
      <w:r w:rsidR="00F44CA3" w:rsidRPr="00211D5A">
        <w:rPr>
          <w:rFonts w:ascii="Calibri" w:eastAsia="Times New Roman" w:hAnsi="Calibri" w:cs="Times New Roman"/>
          <w:sz w:val="24"/>
          <w:szCs w:val="32"/>
        </w:rPr>
        <w:t>253</w:t>
      </w:r>
      <w:r w:rsidR="00B84B00" w:rsidRPr="00211D5A">
        <w:rPr>
          <w:rFonts w:ascii="Calibri" w:eastAsia="Times New Roman" w:hAnsi="Calibri" w:cs="Times New Roman"/>
          <w:sz w:val="24"/>
          <w:szCs w:val="32"/>
        </w:rPr>
        <w:t>.</w:t>
      </w:r>
      <w:r w:rsidR="007F7559" w:rsidRPr="00211D5A">
        <w:rPr>
          <w:rFonts w:ascii="Calibri" w:eastAsia="Times New Roman" w:hAnsi="Calibri" w:cs="Times New Roman"/>
          <w:sz w:val="24"/>
          <w:szCs w:val="32"/>
        </w:rPr>
        <w:t xml:space="preserve"> Accordingly, 0.</w:t>
      </w:r>
      <w:r w:rsidR="00F44CA3" w:rsidRPr="00211D5A">
        <w:rPr>
          <w:rFonts w:ascii="Calibri" w:eastAsia="Times New Roman" w:hAnsi="Calibri" w:cs="Times New Roman"/>
          <w:sz w:val="24"/>
          <w:szCs w:val="32"/>
        </w:rPr>
        <w:t>747</w:t>
      </w:r>
      <w:r w:rsidR="007F7559" w:rsidRPr="00211D5A">
        <w:rPr>
          <w:rFonts w:ascii="Calibri" w:eastAsia="Times New Roman" w:hAnsi="Calibri" w:cs="Times New Roman"/>
          <w:sz w:val="24"/>
          <w:szCs w:val="32"/>
        </w:rPr>
        <w:t xml:space="preserve">P = </w:t>
      </w:r>
      <w:r w:rsidR="00F44CA3" w:rsidRPr="00211D5A">
        <w:rPr>
          <w:rFonts w:ascii="Calibri" w:eastAsia="Times New Roman" w:hAnsi="Calibri" w:cs="Times New Roman"/>
          <w:sz w:val="24"/>
          <w:szCs w:val="32"/>
        </w:rPr>
        <w:t>$1,082.4</w:t>
      </w:r>
      <w:r w:rsidR="00072D6F" w:rsidRPr="00211D5A">
        <w:rPr>
          <w:rFonts w:ascii="Calibri" w:eastAsia="Times New Roman" w:hAnsi="Calibri" w:cs="Times New Roman"/>
          <w:sz w:val="24"/>
          <w:szCs w:val="32"/>
        </w:rPr>
        <w:t>4</w:t>
      </w:r>
      <w:r w:rsidR="00F44CA3" w:rsidRPr="00211D5A">
        <w:rPr>
          <w:rFonts w:ascii="Calibri" w:eastAsia="Times New Roman" w:hAnsi="Calibri" w:cs="Times New Roman"/>
          <w:sz w:val="24"/>
          <w:szCs w:val="32"/>
        </w:rPr>
        <w:t xml:space="preserve"> - $253, or P = $829.4</w:t>
      </w:r>
      <w:r w:rsidR="00072D6F" w:rsidRPr="00211D5A">
        <w:rPr>
          <w:rFonts w:ascii="Calibri" w:eastAsia="Times New Roman" w:hAnsi="Calibri" w:cs="Times New Roman"/>
          <w:sz w:val="24"/>
          <w:szCs w:val="32"/>
        </w:rPr>
        <w:t>4</w:t>
      </w:r>
      <w:r w:rsidR="00F44CA3" w:rsidRPr="00211D5A">
        <w:rPr>
          <w:rFonts w:ascii="Calibri" w:eastAsia="Times New Roman" w:hAnsi="Calibri" w:cs="Times New Roman"/>
          <w:sz w:val="24"/>
          <w:szCs w:val="32"/>
        </w:rPr>
        <w:t>/0.747 = $1,110.</w:t>
      </w:r>
      <w:r w:rsidR="00024B19" w:rsidRPr="00211D5A">
        <w:rPr>
          <w:rFonts w:ascii="Calibri" w:eastAsia="Times New Roman" w:hAnsi="Calibri" w:cs="Times New Roman"/>
          <w:sz w:val="24"/>
          <w:szCs w:val="32"/>
        </w:rPr>
        <w:t>36</w:t>
      </w:r>
      <w:r w:rsidR="00F44CA3" w:rsidRPr="00211D5A">
        <w:rPr>
          <w:rFonts w:ascii="Calibri" w:eastAsia="Times New Roman" w:hAnsi="Calibri" w:cs="Times New Roman"/>
          <w:sz w:val="24"/>
          <w:szCs w:val="32"/>
        </w:rPr>
        <w:t>.</w:t>
      </w:r>
    </w:p>
    <w:p w14:paraId="6641AFF3" w14:textId="02CCB555" w:rsidR="00024B19" w:rsidRPr="00211D5A" w:rsidRDefault="00024B19" w:rsidP="0099615C">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Based on the computation above, we know that the purchase of the exempt bond for $1,110.36 gives the taxpayer a return of 4.0414% per year, the implicit tax equals (0.06 – 0.04014)/0.06, or 31%. That is, the implicit tax on the exempt bond is the same as the explicit tax on the taxable bond when the purchase price for the exempt bond is $1,110.36.</w:t>
      </w:r>
    </w:p>
    <w:p w14:paraId="285AC745" w14:textId="77777777" w:rsidR="002167E5" w:rsidRPr="00211D5A" w:rsidRDefault="002167E5" w:rsidP="002167E5">
      <w:pPr>
        <w:numPr>
          <w:ilvl w:val="2"/>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 xml:space="preserve">Exercise </w:t>
      </w:r>
      <w:r w:rsidR="00F02858" w:rsidRPr="00211D5A">
        <w:rPr>
          <w:rFonts w:ascii="Calibri" w:eastAsia="Times New Roman" w:hAnsi="Calibri" w:cs="Times New Roman"/>
          <w:sz w:val="24"/>
          <w:szCs w:val="32"/>
        </w:rPr>
        <w:t>14</w:t>
      </w:r>
      <w:r w:rsidRPr="00211D5A">
        <w:rPr>
          <w:rFonts w:ascii="Calibri" w:eastAsia="Times New Roman" w:hAnsi="Calibri" w:cs="Times New Roman"/>
          <w:sz w:val="24"/>
          <w:szCs w:val="32"/>
        </w:rPr>
        <w:t>:</w:t>
      </w:r>
    </w:p>
    <w:p w14:paraId="3D9B771C" w14:textId="77777777" w:rsidR="002167E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If the employee accepts the bonus in the current year, she will have $30,000 (1 – 0.3</w:t>
      </w:r>
      <w:r w:rsidR="009D4195" w:rsidRPr="00211D5A">
        <w:rPr>
          <w:rFonts w:ascii="Calibri" w:eastAsia="Times New Roman" w:hAnsi="Calibri" w:cs="Times New Roman"/>
          <w:sz w:val="24"/>
          <w:szCs w:val="32"/>
        </w:rPr>
        <w:t>7</w:t>
      </w:r>
      <w:r w:rsidRPr="00211D5A">
        <w:rPr>
          <w:rFonts w:ascii="Calibri" w:eastAsia="Times New Roman" w:hAnsi="Calibri" w:cs="Times New Roman"/>
          <w:sz w:val="24"/>
          <w:szCs w:val="32"/>
        </w:rPr>
        <w:t>), or $18,</w:t>
      </w:r>
      <w:r w:rsidR="009D4195" w:rsidRPr="00211D5A">
        <w:rPr>
          <w:rFonts w:ascii="Calibri" w:eastAsia="Times New Roman" w:hAnsi="Calibri" w:cs="Times New Roman"/>
          <w:sz w:val="24"/>
          <w:szCs w:val="32"/>
        </w:rPr>
        <w:t>90</w:t>
      </w:r>
      <w:r w:rsidRPr="00211D5A">
        <w:rPr>
          <w:rFonts w:ascii="Calibri" w:eastAsia="Times New Roman" w:hAnsi="Calibri" w:cs="Times New Roman"/>
          <w:sz w:val="24"/>
          <w:szCs w:val="32"/>
        </w:rPr>
        <w:t xml:space="preserve">0. At a 5% </w:t>
      </w:r>
      <w:r w:rsidR="00AA5B28" w:rsidRPr="00211D5A">
        <w:rPr>
          <w:rFonts w:ascii="Calibri" w:eastAsia="Times New Roman" w:hAnsi="Calibri" w:cs="Times New Roman"/>
          <w:sz w:val="24"/>
          <w:szCs w:val="32"/>
        </w:rPr>
        <w:t xml:space="preserve">after-tax </w:t>
      </w:r>
      <w:r w:rsidRPr="00211D5A">
        <w:rPr>
          <w:rFonts w:ascii="Calibri" w:eastAsia="Times New Roman" w:hAnsi="Calibri" w:cs="Times New Roman"/>
          <w:sz w:val="24"/>
          <w:szCs w:val="32"/>
        </w:rPr>
        <w:t>rate of return, th</w:t>
      </w:r>
      <w:r w:rsidR="00AA5B28" w:rsidRPr="00211D5A">
        <w:rPr>
          <w:rFonts w:ascii="Calibri" w:eastAsia="Times New Roman" w:hAnsi="Calibri" w:cs="Times New Roman"/>
          <w:sz w:val="24"/>
          <w:szCs w:val="32"/>
        </w:rPr>
        <w:t>at</w:t>
      </w:r>
      <w:r w:rsidRPr="00211D5A">
        <w:rPr>
          <w:rFonts w:ascii="Calibri" w:eastAsia="Times New Roman" w:hAnsi="Calibri" w:cs="Times New Roman"/>
          <w:sz w:val="24"/>
          <w:szCs w:val="32"/>
        </w:rPr>
        <w:t xml:space="preserve"> will grow by $9</w:t>
      </w:r>
      <w:r w:rsidR="009D4195" w:rsidRPr="00211D5A">
        <w:rPr>
          <w:rFonts w:ascii="Calibri" w:eastAsia="Times New Roman" w:hAnsi="Calibri" w:cs="Times New Roman"/>
          <w:sz w:val="24"/>
          <w:szCs w:val="32"/>
        </w:rPr>
        <w:t>45</w:t>
      </w:r>
      <w:r w:rsidRPr="00211D5A">
        <w:rPr>
          <w:rFonts w:ascii="Calibri" w:eastAsia="Times New Roman" w:hAnsi="Calibri" w:cs="Times New Roman"/>
          <w:sz w:val="24"/>
          <w:szCs w:val="32"/>
        </w:rPr>
        <w:t>. Thus, she will have an after-tax return after one year of $18,</w:t>
      </w:r>
      <w:r w:rsidR="009D4195" w:rsidRPr="00211D5A">
        <w:rPr>
          <w:rFonts w:ascii="Calibri" w:eastAsia="Times New Roman" w:hAnsi="Calibri" w:cs="Times New Roman"/>
          <w:sz w:val="24"/>
          <w:szCs w:val="32"/>
        </w:rPr>
        <w:t>90</w:t>
      </w:r>
      <w:r w:rsidRPr="00211D5A">
        <w:rPr>
          <w:rFonts w:ascii="Calibri" w:eastAsia="Times New Roman" w:hAnsi="Calibri" w:cs="Times New Roman"/>
          <w:sz w:val="24"/>
          <w:szCs w:val="32"/>
        </w:rPr>
        <w:t>0 + $</w:t>
      </w:r>
      <w:r w:rsidR="00AA5B28" w:rsidRPr="00211D5A">
        <w:rPr>
          <w:rFonts w:ascii="Calibri" w:eastAsia="Times New Roman" w:hAnsi="Calibri" w:cs="Times New Roman"/>
          <w:sz w:val="24"/>
          <w:szCs w:val="32"/>
        </w:rPr>
        <w:t>945</w:t>
      </w:r>
      <w:r w:rsidRPr="00211D5A">
        <w:rPr>
          <w:rFonts w:ascii="Calibri" w:eastAsia="Times New Roman" w:hAnsi="Calibri" w:cs="Times New Roman"/>
          <w:sz w:val="24"/>
          <w:szCs w:val="32"/>
        </w:rPr>
        <w:t>, for a total of $1</w:t>
      </w:r>
      <w:r w:rsidR="009D4195" w:rsidRPr="00211D5A">
        <w:rPr>
          <w:rFonts w:ascii="Calibri" w:eastAsia="Times New Roman" w:hAnsi="Calibri" w:cs="Times New Roman"/>
          <w:sz w:val="24"/>
          <w:szCs w:val="32"/>
        </w:rPr>
        <w:t>9,</w:t>
      </w:r>
      <w:r w:rsidR="00AA5B28" w:rsidRPr="00211D5A">
        <w:rPr>
          <w:rFonts w:ascii="Calibri" w:eastAsia="Times New Roman" w:hAnsi="Calibri" w:cs="Times New Roman"/>
          <w:sz w:val="24"/>
          <w:szCs w:val="32"/>
        </w:rPr>
        <w:t>845</w:t>
      </w:r>
      <w:r w:rsidR="009D4195" w:rsidRPr="00211D5A">
        <w:rPr>
          <w:rFonts w:ascii="Calibri" w:eastAsia="Times New Roman" w:hAnsi="Calibri" w:cs="Times New Roman"/>
          <w:sz w:val="24"/>
          <w:szCs w:val="32"/>
        </w:rPr>
        <w:t>.</w:t>
      </w:r>
    </w:p>
    <w:p w14:paraId="10354D3C" w14:textId="77777777" w:rsidR="009D4195"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If the employee prefers to defer the bonus for one year, she will have an after-tax return of $30,000(1 – 0.</w:t>
      </w:r>
      <w:r w:rsidR="009D4195" w:rsidRPr="00211D5A">
        <w:rPr>
          <w:rFonts w:ascii="Calibri" w:eastAsia="Times New Roman" w:hAnsi="Calibri" w:cs="Times New Roman"/>
          <w:sz w:val="24"/>
          <w:szCs w:val="32"/>
        </w:rPr>
        <w:t>24</w:t>
      </w:r>
      <w:r w:rsidRPr="00211D5A">
        <w:rPr>
          <w:rFonts w:ascii="Calibri" w:eastAsia="Times New Roman" w:hAnsi="Calibri" w:cs="Times New Roman"/>
          <w:sz w:val="24"/>
          <w:szCs w:val="32"/>
        </w:rPr>
        <w:t>), or $2</w:t>
      </w:r>
      <w:r w:rsidR="009D4195" w:rsidRPr="00211D5A">
        <w:rPr>
          <w:rFonts w:ascii="Calibri" w:eastAsia="Times New Roman" w:hAnsi="Calibri" w:cs="Times New Roman"/>
          <w:sz w:val="24"/>
          <w:szCs w:val="32"/>
        </w:rPr>
        <w:t>2</w:t>
      </w:r>
      <w:r w:rsidRPr="00211D5A">
        <w:rPr>
          <w:rFonts w:ascii="Calibri" w:eastAsia="Times New Roman" w:hAnsi="Calibri" w:cs="Times New Roman"/>
          <w:sz w:val="24"/>
          <w:szCs w:val="32"/>
        </w:rPr>
        <w:t>,</w:t>
      </w:r>
      <w:r w:rsidR="009D4195" w:rsidRPr="00211D5A">
        <w:rPr>
          <w:rFonts w:ascii="Calibri" w:eastAsia="Times New Roman" w:hAnsi="Calibri" w:cs="Times New Roman"/>
          <w:sz w:val="24"/>
          <w:szCs w:val="32"/>
        </w:rPr>
        <w:t>8</w:t>
      </w:r>
      <w:r w:rsidRPr="00211D5A">
        <w:rPr>
          <w:rFonts w:ascii="Calibri" w:eastAsia="Times New Roman" w:hAnsi="Calibri" w:cs="Times New Roman"/>
          <w:sz w:val="24"/>
          <w:szCs w:val="32"/>
        </w:rPr>
        <w:t>00. Thus, deferring the bonus for one year is better.</w:t>
      </w:r>
    </w:p>
    <w:p w14:paraId="67E0A507" w14:textId="77777777" w:rsidR="004329BA" w:rsidRPr="00211D5A" w:rsidRDefault="002167E5" w:rsidP="002167E5">
      <w:pPr>
        <w:numPr>
          <w:ilvl w:val="3"/>
          <w:numId w:val="2"/>
        </w:numPr>
        <w:spacing w:after="200" w:line="276" w:lineRule="auto"/>
        <w:contextualSpacing/>
        <w:rPr>
          <w:rFonts w:ascii="Calibri" w:eastAsia="Times New Roman" w:hAnsi="Calibri" w:cs="Times New Roman"/>
          <w:sz w:val="24"/>
          <w:szCs w:val="32"/>
        </w:rPr>
      </w:pPr>
      <w:r w:rsidRPr="00211D5A">
        <w:rPr>
          <w:rFonts w:ascii="Calibri" w:eastAsia="Times New Roman" w:hAnsi="Calibri" w:cs="Times New Roman"/>
          <w:sz w:val="24"/>
          <w:szCs w:val="32"/>
        </w:rPr>
        <w:t>If we assume that the employee receives the bonus in the first year and generates a p</w:t>
      </w:r>
      <w:r w:rsidR="009D4195" w:rsidRPr="00211D5A">
        <w:rPr>
          <w:rFonts w:ascii="Calibri" w:eastAsia="Times New Roman" w:hAnsi="Calibri" w:cs="Times New Roman"/>
          <w:sz w:val="24"/>
          <w:szCs w:val="32"/>
        </w:rPr>
        <w:t>ost</w:t>
      </w:r>
      <w:r w:rsidRPr="00211D5A">
        <w:rPr>
          <w:rFonts w:ascii="Calibri" w:eastAsia="Times New Roman" w:hAnsi="Calibri" w:cs="Times New Roman"/>
          <w:sz w:val="24"/>
          <w:szCs w:val="32"/>
        </w:rPr>
        <w:t xml:space="preserve">-tax return of </w:t>
      </w:r>
      <w:r w:rsidR="009D4195" w:rsidRPr="00211D5A">
        <w:rPr>
          <w:rFonts w:ascii="Calibri" w:eastAsia="Times New Roman" w:hAnsi="Calibri" w:cs="Times New Roman"/>
          <w:sz w:val="24"/>
          <w:szCs w:val="32"/>
        </w:rPr>
        <w:t>2</w:t>
      </w:r>
      <w:r w:rsidRPr="00211D5A">
        <w:rPr>
          <w:rFonts w:ascii="Calibri" w:eastAsia="Times New Roman" w:hAnsi="Calibri" w:cs="Times New Roman"/>
          <w:sz w:val="24"/>
          <w:szCs w:val="32"/>
        </w:rPr>
        <w:t>5% on her investment of $18,</w:t>
      </w:r>
      <w:r w:rsidR="009D4195" w:rsidRPr="00211D5A">
        <w:rPr>
          <w:rFonts w:ascii="Calibri" w:eastAsia="Times New Roman" w:hAnsi="Calibri" w:cs="Times New Roman"/>
          <w:sz w:val="24"/>
          <w:szCs w:val="32"/>
        </w:rPr>
        <w:t>900</w:t>
      </w:r>
      <w:r w:rsidRPr="00211D5A">
        <w:rPr>
          <w:rFonts w:ascii="Calibri" w:eastAsia="Times New Roman" w:hAnsi="Calibri" w:cs="Times New Roman"/>
          <w:sz w:val="24"/>
          <w:szCs w:val="32"/>
        </w:rPr>
        <w:t>, then she will generate a</w:t>
      </w:r>
      <w:r w:rsidR="009D4195" w:rsidRPr="00211D5A">
        <w:rPr>
          <w:rFonts w:ascii="Calibri" w:eastAsia="Times New Roman" w:hAnsi="Calibri" w:cs="Times New Roman"/>
          <w:sz w:val="24"/>
          <w:szCs w:val="32"/>
        </w:rPr>
        <w:t>n after-tax</w:t>
      </w:r>
      <w:r w:rsidRPr="00211D5A">
        <w:rPr>
          <w:rFonts w:ascii="Calibri" w:eastAsia="Times New Roman" w:hAnsi="Calibri" w:cs="Times New Roman"/>
          <w:sz w:val="24"/>
          <w:szCs w:val="32"/>
        </w:rPr>
        <w:t xml:space="preserve"> return of $</w:t>
      </w:r>
      <w:r w:rsidR="009D4195" w:rsidRPr="00211D5A">
        <w:rPr>
          <w:rFonts w:ascii="Calibri" w:eastAsia="Times New Roman" w:hAnsi="Calibri" w:cs="Times New Roman"/>
          <w:sz w:val="24"/>
          <w:szCs w:val="32"/>
        </w:rPr>
        <w:t>5</w:t>
      </w:r>
      <w:r w:rsidRPr="00211D5A">
        <w:rPr>
          <w:rFonts w:ascii="Calibri" w:eastAsia="Times New Roman" w:hAnsi="Calibri" w:cs="Times New Roman"/>
          <w:sz w:val="24"/>
          <w:szCs w:val="32"/>
        </w:rPr>
        <w:t>,7</w:t>
      </w:r>
      <w:r w:rsidR="009D4195" w:rsidRPr="00211D5A">
        <w:rPr>
          <w:rFonts w:ascii="Calibri" w:eastAsia="Times New Roman" w:hAnsi="Calibri" w:cs="Times New Roman"/>
          <w:sz w:val="24"/>
          <w:szCs w:val="32"/>
        </w:rPr>
        <w:t>25</w:t>
      </w:r>
      <w:r w:rsidRPr="00211D5A">
        <w:rPr>
          <w:rFonts w:ascii="Calibri" w:eastAsia="Times New Roman" w:hAnsi="Calibri" w:cs="Times New Roman"/>
          <w:sz w:val="24"/>
          <w:szCs w:val="32"/>
        </w:rPr>
        <w:t>. As a result, her total return is $18,</w:t>
      </w:r>
      <w:r w:rsidR="009D4195" w:rsidRPr="00211D5A">
        <w:rPr>
          <w:rFonts w:ascii="Calibri" w:eastAsia="Times New Roman" w:hAnsi="Calibri" w:cs="Times New Roman"/>
          <w:sz w:val="24"/>
          <w:szCs w:val="32"/>
        </w:rPr>
        <w:t>90</w:t>
      </w:r>
      <w:r w:rsidRPr="00211D5A">
        <w:rPr>
          <w:rFonts w:ascii="Calibri" w:eastAsia="Times New Roman" w:hAnsi="Calibri" w:cs="Times New Roman"/>
          <w:sz w:val="24"/>
          <w:szCs w:val="32"/>
        </w:rPr>
        <w:t>0 + $</w:t>
      </w:r>
      <w:r w:rsidR="00DE2FCD" w:rsidRPr="00211D5A">
        <w:rPr>
          <w:rFonts w:ascii="Calibri" w:eastAsia="Times New Roman" w:hAnsi="Calibri" w:cs="Times New Roman"/>
          <w:sz w:val="24"/>
          <w:szCs w:val="32"/>
        </w:rPr>
        <w:t>4</w:t>
      </w:r>
      <w:r w:rsidR="009D4195" w:rsidRPr="00211D5A">
        <w:rPr>
          <w:rFonts w:ascii="Calibri" w:eastAsia="Times New Roman" w:hAnsi="Calibri" w:cs="Times New Roman"/>
          <w:sz w:val="24"/>
          <w:szCs w:val="32"/>
        </w:rPr>
        <w:t>,725</w:t>
      </w:r>
      <w:r w:rsidRPr="00211D5A">
        <w:rPr>
          <w:rFonts w:ascii="Calibri" w:eastAsia="Times New Roman" w:hAnsi="Calibri" w:cs="Times New Roman"/>
          <w:sz w:val="24"/>
          <w:szCs w:val="32"/>
        </w:rPr>
        <w:t>, or $</w:t>
      </w:r>
      <w:r w:rsidR="009D4195" w:rsidRPr="00211D5A">
        <w:rPr>
          <w:rFonts w:ascii="Calibri" w:eastAsia="Times New Roman" w:hAnsi="Calibri" w:cs="Times New Roman"/>
          <w:sz w:val="24"/>
          <w:szCs w:val="32"/>
        </w:rPr>
        <w:t>2</w:t>
      </w:r>
      <w:r w:rsidR="00DE2FCD" w:rsidRPr="00211D5A">
        <w:rPr>
          <w:rFonts w:ascii="Calibri" w:eastAsia="Times New Roman" w:hAnsi="Calibri" w:cs="Times New Roman"/>
          <w:sz w:val="24"/>
          <w:szCs w:val="32"/>
        </w:rPr>
        <w:t>3</w:t>
      </w:r>
      <w:r w:rsidRPr="00211D5A">
        <w:rPr>
          <w:rFonts w:ascii="Calibri" w:eastAsia="Times New Roman" w:hAnsi="Calibri" w:cs="Times New Roman"/>
          <w:sz w:val="24"/>
          <w:szCs w:val="32"/>
        </w:rPr>
        <w:t>,</w:t>
      </w:r>
      <w:r w:rsidR="009D4195" w:rsidRPr="00211D5A">
        <w:rPr>
          <w:rFonts w:ascii="Calibri" w:eastAsia="Times New Roman" w:hAnsi="Calibri" w:cs="Times New Roman"/>
          <w:sz w:val="24"/>
          <w:szCs w:val="32"/>
        </w:rPr>
        <w:t>625</w:t>
      </w:r>
      <w:r w:rsidRPr="00211D5A">
        <w:rPr>
          <w:rFonts w:ascii="Calibri" w:eastAsia="Times New Roman" w:hAnsi="Calibri" w:cs="Times New Roman"/>
          <w:sz w:val="24"/>
          <w:szCs w:val="32"/>
        </w:rPr>
        <w:t xml:space="preserve">. </w:t>
      </w:r>
      <w:r w:rsidR="009D4195" w:rsidRPr="00211D5A">
        <w:rPr>
          <w:rFonts w:ascii="Calibri" w:eastAsia="Times New Roman" w:hAnsi="Calibri" w:cs="Times New Roman"/>
          <w:sz w:val="24"/>
          <w:szCs w:val="32"/>
        </w:rPr>
        <w:t>Now the immediate bonus is better for her.</w:t>
      </w:r>
    </w:p>
    <w:sectPr w:rsidR="004329BA" w:rsidRPr="00211D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10FB" w14:textId="77777777" w:rsidR="00D77C7E" w:rsidRDefault="00D77C7E" w:rsidP="00B056D2">
      <w:pPr>
        <w:spacing w:after="0" w:line="240" w:lineRule="auto"/>
      </w:pPr>
      <w:r>
        <w:separator/>
      </w:r>
    </w:p>
  </w:endnote>
  <w:endnote w:type="continuationSeparator" w:id="0">
    <w:p w14:paraId="1E2B5028" w14:textId="77777777" w:rsidR="00D77C7E" w:rsidRDefault="00D77C7E" w:rsidP="00B0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96223"/>
      <w:docPartObj>
        <w:docPartGallery w:val="Page Numbers (Bottom of Page)"/>
        <w:docPartUnique/>
      </w:docPartObj>
    </w:sdtPr>
    <w:sdtEndPr>
      <w:rPr>
        <w:noProof/>
      </w:rPr>
    </w:sdtEndPr>
    <w:sdtContent>
      <w:p w14:paraId="1958DF52" w14:textId="77777777" w:rsidR="00B056D2" w:rsidRDefault="00B056D2">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p w14:paraId="017C10E7" w14:textId="77777777" w:rsidR="00B056D2" w:rsidRDefault="00B0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34C7" w14:textId="77777777" w:rsidR="00D77C7E" w:rsidRDefault="00D77C7E" w:rsidP="00B056D2">
      <w:pPr>
        <w:spacing w:after="0" w:line="240" w:lineRule="auto"/>
      </w:pPr>
      <w:r>
        <w:separator/>
      </w:r>
    </w:p>
  </w:footnote>
  <w:footnote w:type="continuationSeparator" w:id="0">
    <w:p w14:paraId="38BA9866" w14:textId="77777777" w:rsidR="00D77C7E" w:rsidRDefault="00D77C7E" w:rsidP="00B05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84A47"/>
    <w:multiLevelType w:val="hybridMultilevel"/>
    <w:tmpl w:val="8F66A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855A7"/>
    <w:multiLevelType w:val="multilevel"/>
    <w:tmpl w:val="5C2A20F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77337791">
    <w:abstractNumId w:val="0"/>
  </w:num>
  <w:num w:numId="2" w16cid:durableId="27324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E5"/>
    <w:rsid w:val="00024B19"/>
    <w:rsid w:val="00072D6F"/>
    <w:rsid w:val="000E2B41"/>
    <w:rsid w:val="00133D1C"/>
    <w:rsid w:val="00137C98"/>
    <w:rsid w:val="001827C2"/>
    <w:rsid w:val="001C19CB"/>
    <w:rsid w:val="00211D5A"/>
    <w:rsid w:val="002167E5"/>
    <w:rsid w:val="002451E3"/>
    <w:rsid w:val="002A1DDC"/>
    <w:rsid w:val="002C2131"/>
    <w:rsid w:val="003016B8"/>
    <w:rsid w:val="004329BA"/>
    <w:rsid w:val="00437000"/>
    <w:rsid w:val="0048683A"/>
    <w:rsid w:val="004C2B5D"/>
    <w:rsid w:val="00501ADB"/>
    <w:rsid w:val="00532643"/>
    <w:rsid w:val="00575141"/>
    <w:rsid w:val="00592C31"/>
    <w:rsid w:val="006A7E2E"/>
    <w:rsid w:val="00794F16"/>
    <w:rsid w:val="007B7012"/>
    <w:rsid w:val="007F7559"/>
    <w:rsid w:val="008967D0"/>
    <w:rsid w:val="00943E09"/>
    <w:rsid w:val="00981EA9"/>
    <w:rsid w:val="0099615C"/>
    <w:rsid w:val="009D2917"/>
    <w:rsid w:val="009D4195"/>
    <w:rsid w:val="00A717C4"/>
    <w:rsid w:val="00AA5B28"/>
    <w:rsid w:val="00AC52B6"/>
    <w:rsid w:val="00B056D2"/>
    <w:rsid w:val="00B23C6B"/>
    <w:rsid w:val="00B37110"/>
    <w:rsid w:val="00B5660E"/>
    <w:rsid w:val="00B84B00"/>
    <w:rsid w:val="00BB1DF3"/>
    <w:rsid w:val="00C1317A"/>
    <w:rsid w:val="00C744B1"/>
    <w:rsid w:val="00CE2F60"/>
    <w:rsid w:val="00CF3517"/>
    <w:rsid w:val="00D20B4F"/>
    <w:rsid w:val="00D77C7E"/>
    <w:rsid w:val="00DE2FCD"/>
    <w:rsid w:val="00DE54DC"/>
    <w:rsid w:val="00DF2AE0"/>
    <w:rsid w:val="00E105AC"/>
    <w:rsid w:val="00E15DB5"/>
    <w:rsid w:val="00E60287"/>
    <w:rsid w:val="00EE014B"/>
    <w:rsid w:val="00F02858"/>
    <w:rsid w:val="00F44CA3"/>
    <w:rsid w:val="00F4647D"/>
    <w:rsid w:val="00F8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E248"/>
  <w15:chartTrackingRefBased/>
  <w15:docId w15:val="{82DB9D4C-77E0-4267-8A89-C8E29FB2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6D2"/>
  </w:style>
  <w:style w:type="paragraph" w:styleId="Footer">
    <w:name w:val="footer"/>
    <w:basedOn w:val="Normal"/>
    <w:link w:val="FooterChar"/>
    <w:uiPriority w:val="99"/>
    <w:unhideWhenUsed/>
    <w:rsid w:val="00B0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3</cp:revision>
  <cp:lastPrinted>2024-01-29T18:20:00Z</cp:lastPrinted>
  <dcterms:created xsi:type="dcterms:W3CDTF">2024-01-30T04:27:00Z</dcterms:created>
  <dcterms:modified xsi:type="dcterms:W3CDTF">2024-01-30T04:28:00Z</dcterms:modified>
</cp:coreProperties>
</file>